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9EDE6" w14:textId="77777777" w:rsidR="003741D9" w:rsidRPr="001901AF" w:rsidRDefault="003741D9" w:rsidP="00CE127D">
      <w:bookmarkStart w:id="0" w:name="_Hlk130816403"/>
      <w:bookmarkEnd w:id="0"/>
    </w:p>
    <w:p w14:paraId="5BB83B56" w14:textId="77777777" w:rsidR="003741D9" w:rsidRDefault="003741D9" w:rsidP="00CE127D"/>
    <w:p w14:paraId="75182B76" w14:textId="77777777" w:rsidR="005024B5" w:rsidRDefault="005024B5" w:rsidP="00CE127D">
      <w:pPr>
        <w:rPr>
          <w:rStyle w:val="SubtleEmphasis"/>
          <w:rFonts w:asciiTheme="minorHAnsi" w:hAnsiTheme="minorHAnsi" w:cstheme="minorHAnsi"/>
          <w:b/>
          <w:i w:val="0"/>
          <w:sz w:val="48"/>
          <w:szCs w:val="36"/>
        </w:rPr>
      </w:pPr>
      <w:r w:rsidRPr="005024B5">
        <w:rPr>
          <w:rStyle w:val="SubtleEmphasis"/>
          <w:rFonts w:asciiTheme="minorHAnsi" w:hAnsiTheme="minorHAnsi" w:cstheme="minorHAnsi"/>
          <w:b/>
          <w:i w:val="0"/>
          <w:sz w:val="48"/>
          <w:szCs w:val="36"/>
        </w:rPr>
        <w:t xml:space="preserve">Student Feedback on </w:t>
      </w:r>
      <w:proofErr w:type="spellStart"/>
      <w:r w:rsidRPr="005024B5">
        <w:rPr>
          <w:rStyle w:val="SubtleEmphasis"/>
          <w:rFonts w:asciiTheme="minorHAnsi" w:hAnsiTheme="minorHAnsi" w:cstheme="minorHAnsi"/>
          <w:b/>
          <w:i w:val="0"/>
          <w:sz w:val="48"/>
          <w:szCs w:val="36"/>
        </w:rPr>
        <w:t>Archaeogaming</w:t>
      </w:r>
      <w:proofErr w:type="spellEnd"/>
      <w:r w:rsidRPr="005024B5">
        <w:rPr>
          <w:rStyle w:val="SubtleEmphasis"/>
          <w:rFonts w:asciiTheme="minorHAnsi" w:hAnsiTheme="minorHAnsi" w:cstheme="minorHAnsi"/>
          <w:b/>
          <w:i w:val="0"/>
          <w:sz w:val="48"/>
          <w:szCs w:val="36"/>
        </w:rPr>
        <w:t xml:space="preserve">: </w:t>
      </w:r>
    </w:p>
    <w:p w14:paraId="55CBE3D6" w14:textId="2C4F3104" w:rsidR="00C65C53" w:rsidRPr="00BA20F9" w:rsidRDefault="005024B5" w:rsidP="00CE127D">
      <w:pPr>
        <w:rPr>
          <w:rStyle w:val="SubtleEmphasis"/>
          <w:rFonts w:asciiTheme="minorHAnsi" w:hAnsiTheme="minorHAnsi" w:cstheme="minorHAnsi"/>
          <w:i w:val="0"/>
          <w:sz w:val="48"/>
          <w:szCs w:val="48"/>
        </w:rPr>
      </w:pPr>
      <w:r w:rsidRPr="005024B5">
        <w:rPr>
          <w:rStyle w:val="SubtleEmphasis"/>
          <w:rFonts w:asciiTheme="minorHAnsi" w:hAnsiTheme="minorHAnsi" w:cstheme="minorHAnsi"/>
          <w:b/>
          <w:i w:val="0"/>
          <w:sz w:val="48"/>
          <w:szCs w:val="36"/>
        </w:rPr>
        <w:t>Perspectives from a Classics Classroom</w:t>
      </w:r>
    </w:p>
    <w:p w14:paraId="09F0783D" w14:textId="1B7EC238" w:rsidR="00C65C53" w:rsidRPr="00004AFA" w:rsidRDefault="005024B5" w:rsidP="00CE127D">
      <w:pPr>
        <w:ind w:right="708"/>
        <w:rPr>
          <w:rFonts w:asciiTheme="minorHAnsi" w:hAnsiTheme="minorHAnsi" w:cstheme="minorHAnsi"/>
          <w:sz w:val="32"/>
        </w:rPr>
      </w:pPr>
      <w:r>
        <w:rPr>
          <w:rFonts w:asciiTheme="minorHAnsi" w:hAnsiTheme="minorHAnsi" w:cstheme="minorHAnsi"/>
          <w:sz w:val="32"/>
        </w:rPr>
        <w:t>Stephan, Robert</w:t>
      </w:r>
      <w:r w:rsidR="00C65C53" w:rsidRPr="00004AFA">
        <w:rPr>
          <w:rFonts w:asciiTheme="minorHAnsi" w:hAnsiTheme="minorHAnsi" w:cstheme="minorHAnsi"/>
          <w:sz w:val="32"/>
          <w:vertAlign w:val="superscript"/>
        </w:rPr>
        <w:t>1</w:t>
      </w:r>
    </w:p>
    <w:p w14:paraId="69417A6C" w14:textId="77777777" w:rsidR="00C65C53" w:rsidRPr="006C2EA3" w:rsidRDefault="00C65C53" w:rsidP="00CE127D">
      <w:pPr>
        <w:rPr>
          <w:rFonts w:asciiTheme="minorHAnsi" w:hAnsiTheme="minorHAnsi" w:cstheme="minorHAnsi"/>
          <w:sz w:val="32"/>
          <w:szCs w:val="28"/>
        </w:rPr>
      </w:pPr>
    </w:p>
    <w:p w14:paraId="10027F44" w14:textId="6D70D010" w:rsidR="00C65C53" w:rsidRPr="006C2EA3" w:rsidRDefault="00C65C53" w:rsidP="00CE127D">
      <w:pPr>
        <w:rPr>
          <w:rFonts w:asciiTheme="minorHAnsi" w:hAnsiTheme="minorHAnsi" w:cstheme="minorHAnsi"/>
          <w:sz w:val="20"/>
          <w:szCs w:val="22"/>
        </w:rPr>
      </w:pPr>
      <w:r w:rsidRPr="006C2EA3">
        <w:rPr>
          <w:rFonts w:asciiTheme="minorHAnsi" w:hAnsiTheme="minorHAnsi" w:cstheme="minorHAnsi"/>
          <w:sz w:val="20"/>
          <w:szCs w:val="22"/>
          <w:vertAlign w:val="superscript"/>
        </w:rPr>
        <w:t>1</w:t>
      </w:r>
      <w:r w:rsidRPr="006C2EA3">
        <w:rPr>
          <w:rFonts w:asciiTheme="minorHAnsi" w:hAnsiTheme="minorHAnsi" w:cstheme="minorHAnsi"/>
          <w:sz w:val="20"/>
          <w:szCs w:val="22"/>
        </w:rPr>
        <w:t xml:space="preserve"> </w:t>
      </w:r>
      <w:r w:rsidR="005024B5">
        <w:rPr>
          <w:rFonts w:asciiTheme="minorHAnsi" w:hAnsiTheme="minorHAnsi" w:cstheme="minorHAnsi"/>
          <w:sz w:val="20"/>
          <w:szCs w:val="22"/>
        </w:rPr>
        <w:t xml:space="preserve">University of Arizona </w:t>
      </w:r>
      <w:r w:rsidRPr="006C2EA3">
        <w:rPr>
          <w:rFonts w:asciiTheme="minorHAnsi" w:hAnsiTheme="minorHAnsi" w:cstheme="minorHAnsi"/>
          <w:sz w:val="20"/>
          <w:szCs w:val="22"/>
        </w:rPr>
        <w:t>– T</w:t>
      </w:r>
      <w:r w:rsidR="005024B5">
        <w:rPr>
          <w:rFonts w:asciiTheme="minorHAnsi" w:hAnsiTheme="minorHAnsi" w:cstheme="minorHAnsi"/>
          <w:sz w:val="20"/>
          <w:szCs w:val="22"/>
        </w:rPr>
        <w:t>ucson, United States</w:t>
      </w:r>
    </w:p>
    <w:p w14:paraId="05F1DEFC" w14:textId="77777777" w:rsidR="006C2EA3" w:rsidRPr="006C2EA3" w:rsidRDefault="006C2EA3" w:rsidP="00CE127D">
      <w:pPr>
        <w:rPr>
          <w:rFonts w:asciiTheme="minorHAnsi" w:hAnsiTheme="minorHAnsi" w:cstheme="minorHAnsi"/>
          <w:sz w:val="20"/>
          <w:szCs w:val="22"/>
        </w:rPr>
      </w:pPr>
    </w:p>
    <w:p w14:paraId="5A3BA56F" w14:textId="0CBC0D91" w:rsidR="006C2EA3" w:rsidRPr="006C2EA3" w:rsidRDefault="006C2EA3" w:rsidP="00CE127D">
      <w:pPr>
        <w:rPr>
          <w:rFonts w:asciiTheme="minorHAnsi" w:hAnsiTheme="minorHAnsi" w:cstheme="minorHAnsi"/>
          <w:sz w:val="20"/>
          <w:szCs w:val="22"/>
        </w:rPr>
      </w:pPr>
      <w:r>
        <w:rPr>
          <w:rFonts w:asciiTheme="minorHAnsi" w:hAnsiTheme="minorHAnsi" w:cstheme="minorHAnsi"/>
          <w:sz w:val="20"/>
          <w:szCs w:val="22"/>
        </w:rPr>
        <w:t xml:space="preserve">Correspondence: </w:t>
      </w:r>
      <w:r w:rsidR="005024B5">
        <w:rPr>
          <w:rFonts w:asciiTheme="minorHAnsi" w:hAnsiTheme="minorHAnsi" w:cstheme="minorHAnsi"/>
          <w:sz w:val="20"/>
          <w:szCs w:val="22"/>
        </w:rPr>
        <w:t>rstephan</w:t>
      </w:r>
      <w:r>
        <w:rPr>
          <w:rFonts w:asciiTheme="minorHAnsi" w:hAnsiTheme="minorHAnsi" w:cstheme="minorHAnsi"/>
          <w:sz w:val="20"/>
          <w:szCs w:val="22"/>
        </w:rPr>
        <w:t>@</w:t>
      </w:r>
      <w:r w:rsidR="005024B5">
        <w:rPr>
          <w:rFonts w:asciiTheme="minorHAnsi" w:hAnsiTheme="minorHAnsi" w:cstheme="minorHAnsi"/>
          <w:sz w:val="20"/>
          <w:szCs w:val="22"/>
        </w:rPr>
        <w:t>arizona.edu</w:t>
      </w:r>
    </w:p>
    <w:p w14:paraId="3D467568" w14:textId="77777777" w:rsidR="00F947E1" w:rsidRDefault="00F947E1" w:rsidP="00CE127D">
      <w:pPr>
        <w:ind w:left="-2127"/>
        <w:rPr>
          <w:rFonts w:asciiTheme="minorHAnsi" w:hAnsiTheme="minorHAnsi" w:cstheme="minorHAnsi"/>
          <w:sz w:val="28"/>
          <w:szCs w:val="28"/>
        </w:rPr>
      </w:pPr>
    </w:p>
    <w:p w14:paraId="5312E7B4" w14:textId="77777777" w:rsidR="006C2EA3" w:rsidRPr="004777A6" w:rsidRDefault="006C2EA3" w:rsidP="00CE127D">
      <w:pPr>
        <w:ind w:left="-2127"/>
        <w:rPr>
          <w:rFonts w:asciiTheme="minorHAnsi" w:hAnsiTheme="minorHAnsi" w:cstheme="minorHAnsi"/>
          <w:sz w:val="28"/>
          <w:szCs w:val="28"/>
        </w:rPr>
      </w:pPr>
    </w:p>
    <w:p w14:paraId="174FC4D3" w14:textId="77777777" w:rsidR="002224D3" w:rsidRPr="003A557F" w:rsidRDefault="00C65C53" w:rsidP="00836A3F">
      <w:pPr>
        <w:shd w:val="clear" w:color="auto" w:fill="E7E6E6" w:themeFill="background2"/>
        <w:rPr>
          <w:rFonts w:asciiTheme="minorHAnsi" w:hAnsiTheme="minorHAnsi" w:cstheme="minorHAnsi"/>
          <w:b/>
          <w:smallCaps/>
          <w:sz w:val="28"/>
          <w:szCs w:val="21"/>
        </w:rPr>
      </w:pPr>
      <w:r w:rsidRPr="003A557F">
        <w:rPr>
          <w:rFonts w:asciiTheme="minorHAnsi" w:hAnsiTheme="minorHAnsi" w:cstheme="minorHAnsi"/>
          <w:b/>
          <w:smallCaps/>
          <w:sz w:val="28"/>
          <w:szCs w:val="21"/>
        </w:rPr>
        <w:t>Abstract</w:t>
      </w:r>
    </w:p>
    <w:p w14:paraId="001BDE95" w14:textId="185E1997" w:rsidR="00484108" w:rsidRPr="003A557F" w:rsidRDefault="00070D4C" w:rsidP="00836A3F">
      <w:pPr>
        <w:shd w:val="clear" w:color="auto" w:fill="E7E6E6" w:themeFill="background2"/>
        <w:rPr>
          <w:rFonts w:asciiTheme="minorHAnsi" w:hAnsiTheme="minorHAnsi" w:cstheme="minorHAnsi"/>
          <w:iCs/>
          <w:szCs w:val="16"/>
          <w:lang w:val="fr-FR"/>
        </w:rPr>
      </w:pPr>
      <w:r w:rsidRPr="00070D4C">
        <w:rPr>
          <w:rFonts w:asciiTheme="minorHAnsi" w:hAnsiTheme="minorHAnsi" w:cstheme="minorHAnsi"/>
          <w:iCs/>
          <w:noProof/>
          <w:sz w:val="24"/>
          <w:szCs w:val="16"/>
        </w:rPr>
        <w:t xml:space="preserve">This </w:t>
      </w:r>
      <w:r>
        <w:rPr>
          <w:rFonts w:asciiTheme="minorHAnsi" w:hAnsiTheme="minorHAnsi" w:cstheme="minorHAnsi"/>
          <w:iCs/>
          <w:noProof/>
          <w:sz w:val="24"/>
          <w:szCs w:val="16"/>
        </w:rPr>
        <w:t xml:space="preserve">study assesses student feedback </w:t>
      </w:r>
      <w:r w:rsidR="00981A09">
        <w:rPr>
          <w:rFonts w:asciiTheme="minorHAnsi" w:hAnsiTheme="minorHAnsi" w:cstheme="minorHAnsi"/>
          <w:iCs/>
          <w:noProof/>
          <w:sz w:val="24"/>
          <w:szCs w:val="16"/>
        </w:rPr>
        <w:t>from</w:t>
      </w:r>
      <w:r>
        <w:rPr>
          <w:rFonts w:asciiTheme="minorHAnsi" w:hAnsiTheme="minorHAnsi" w:cstheme="minorHAnsi"/>
          <w:iCs/>
          <w:noProof/>
          <w:sz w:val="24"/>
          <w:szCs w:val="16"/>
        </w:rPr>
        <w:t xml:space="preserve"> the implementation of </w:t>
      </w:r>
      <w:r w:rsidR="00981A09" w:rsidRPr="00981A09">
        <w:rPr>
          <w:rFonts w:asciiTheme="minorHAnsi" w:hAnsiTheme="minorHAnsi" w:cstheme="minorHAnsi"/>
          <w:i/>
          <w:noProof/>
          <w:sz w:val="24"/>
          <w:szCs w:val="16"/>
        </w:rPr>
        <w:t>Assassin’s Creed: Odyssey</w:t>
      </w:r>
      <w:r>
        <w:rPr>
          <w:rFonts w:asciiTheme="minorHAnsi" w:hAnsiTheme="minorHAnsi" w:cstheme="minorHAnsi"/>
          <w:iCs/>
          <w:noProof/>
          <w:sz w:val="24"/>
          <w:szCs w:val="16"/>
        </w:rPr>
        <w:t xml:space="preserve"> as a teaching tool in </w:t>
      </w:r>
      <w:r w:rsidR="00981A09">
        <w:rPr>
          <w:rFonts w:asciiTheme="minorHAnsi" w:hAnsiTheme="minorHAnsi" w:cstheme="minorHAnsi"/>
          <w:iCs/>
          <w:noProof/>
          <w:sz w:val="24"/>
          <w:szCs w:val="16"/>
        </w:rPr>
        <w:t>a lower level, general education Classics course (CLAS 160B1 - Meet the Ancients: Gateway to Greece and Rome)</w:t>
      </w:r>
      <w:r>
        <w:rPr>
          <w:rFonts w:asciiTheme="minorHAnsi" w:hAnsiTheme="minorHAnsi" w:cstheme="minorHAnsi"/>
          <w:iCs/>
          <w:noProof/>
          <w:sz w:val="24"/>
          <w:szCs w:val="16"/>
        </w:rPr>
        <w:t xml:space="preserve">. </w:t>
      </w:r>
      <w:r w:rsidR="00981A09">
        <w:rPr>
          <w:rFonts w:asciiTheme="minorHAnsi" w:hAnsiTheme="minorHAnsi" w:cstheme="minorHAnsi"/>
          <w:iCs/>
          <w:noProof/>
          <w:sz w:val="24"/>
          <w:szCs w:val="16"/>
        </w:rPr>
        <w:t>In this course, which ran in Fall 2021,</w:t>
      </w:r>
      <w:r w:rsidRPr="00070D4C">
        <w:rPr>
          <w:rFonts w:asciiTheme="minorHAnsi" w:hAnsiTheme="minorHAnsi" w:cstheme="minorHAnsi"/>
          <w:iCs/>
          <w:noProof/>
          <w:sz w:val="24"/>
          <w:szCs w:val="16"/>
        </w:rPr>
        <w:t xml:space="preserve"> students </w:t>
      </w:r>
      <w:r>
        <w:rPr>
          <w:rFonts w:asciiTheme="minorHAnsi" w:hAnsiTheme="minorHAnsi" w:cstheme="minorHAnsi"/>
          <w:iCs/>
          <w:noProof/>
          <w:sz w:val="24"/>
          <w:szCs w:val="16"/>
        </w:rPr>
        <w:t>were given</w:t>
      </w:r>
      <w:r w:rsidRPr="00070D4C">
        <w:rPr>
          <w:rFonts w:asciiTheme="minorHAnsi" w:hAnsiTheme="minorHAnsi" w:cstheme="minorHAnsi"/>
          <w:iCs/>
          <w:noProof/>
          <w:sz w:val="24"/>
          <w:szCs w:val="16"/>
        </w:rPr>
        <w:t xml:space="preserve"> the option to choose either a video game-based assignment sequence or a traditional reading response assignment sequence. </w:t>
      </w:r>
      <w:r>
        <w:rPr>
          <w:rFonts w:asciiTheme="minorHAnsi" w:hAnsiTheme="minorHAnsi" w:cstheme="minorHAnsi"/>
          <w:iCs/>
          <w:noProof/>
          <w:sz w:val="24"/>
          <w:szCs w:val="16"/>
        </w:rPr>
        <w:t xml:space="preserve">Both assignment sequences required similar acitivities and output: reading primary and secondary source literature, reflecting on a question prompt, and writing an essay in response to the prompt. The primary difference was that students who opted for the video game sequence also completed a series of tasks within the video </w:t>
      </w:r>
      <w:r>
        <w:rPr>
          <w:rFonts w:asciiTheme="minorHAnsi" w:hAnsiTheme="minorHAnsi" w:cstheme="minorHAnsi"/>
          <w:i/>
          <w:noProof/>
          <w:sz w:val="24"/>
          <w:szCs w:val="16"/>
        </w:rPr>
        <w:t>Assassin’s Creed: Odyssey</w:t>
      </w:r>
      <w:r>
        <w:rPr>
          <w:rFonts w:asciiTheme="minorHAnsi" w:hAnsiTheme="minorHAnsi" w:cstheme="minorHAnsi"/>
          <w:iCs/>
          <w:noProof/>
          <w:sz w:val="24"/>
          <w:szCs w:val="16"/>
        </w:rPr>
        <w:t>.</w:t>
      </w:r>
      <w:r>
        <w:rPr>
          <w:rFonts w:asciiTheme="minorHAnsi" w:hAnsiTheme="minorHAnsi" w:cstheme="minorHAnsi"/>
          <w:i/>
          <w:noProof/>
          <w:sz w:val="24"/>
          <w:szCs w:val="16"/>
        </w:rPr>
        <w:t xml:space="preserve"> </w:t>
      </w:r>
      <w:r w:rsidRPr="00070D4C">
        <w:rPr>
          <w:rFonts w:asciiTheme="minorHAnsi" w:hAnsiTheme="minorHAnsi" w:cstheme="minorHAnsi"/>
          <w:iCs/>
          <w:noProof/>
          <w:sz w:val="24"/>
          <w:szCs w:val="16"/>
        </w:rPr>
        <w:t xml:space="preserve">After the course, students were provided with short quantitative and qualitative survey in which they could reflect upon their learning experience, and these results were then compared between the students who opted for the video game-based assignment sequence and the more traditional assignment sequence. </w:t>
      </w:r>
      <w:r>
        <w:rPr>
          <w:rFonts w:asciiTheme="minorHAnsi" w:hAnsiTheme="minorHAnsi" w:cstheme="minorHAnsi"/>
          <w:iCs/>
          <w:noProof/>
          <w:sz w:val="24"/>
          <w:szCs w:val="16"/>
        </w:rPr>
        <w:t>Preliminary results show that students who opted for the video game assignment sequence</w:t>
      </w:r>
      <w:r w:rsidR="00981A09">
        <w:rPr>
          <w:rFonts w:asciiTheme="minorHAnsi" w:hAnsiTheme="minorHAnsi" w:cstheme="minorHAnsi"/>
          <w:iCs/>
          <w:noProof/>
          <w:sz w:val="24"/>
          <w:szCs w:val="16"/>
        </w:rPr>
        <w:t xml:space="preserve"> gave, on average, high ratings with regard to their enjoyment of the course assignments and with regard to the amount of learning they felt they achieved. This suggests that the implementation of video game-based pedagogy may be a useful strategy for history, archaeology, and classics courses in the future. Caution is urged, however, due to the small sample size, the non-random sampling strategy, and the lack of objective learning outcome measurement. </w:t>
      </w:r>
    </w:p>
    <w:p w14:paraId="48369C99" w14:textId="77777777" w:rsidR="001875B8" w:rsidRPr="003A557F" w:rsidRDefault="001875B8" w:rsidP="00836A3F">
      <w:pPr>
        <w:shd w:val="clear" w:color="auto" w:fill="E7E6E6" w:themeFill="background2"/>
        <w:rPr>
          <w:rFonts w:asciiTheme="minorHAnsi" w:hAnsiTheme="minorHAnsi" w:cstheme="minorHAnsi"/>
          <w:szCs w:val="16"/>
          <w:lang w:val="fr-FR"/>
        </w:rPr>
      </w:pPr>
    </w:p>
    <w:p w14:paraId="72226256" w14:textId="57981C0E" w:rsidR="00484108" w:rsidRPr="003A557F" w:rsidRDefault="00C65C53" w:rsidP="00836A3F">
      <w:pPr>
        <w:shd w:val="clear" w:color="auto" w:fill="E7E6E6" w:themeFill="background2"/>
        <w:rPr>
          <w:rFonts w:asciiTheme="minorHAnsi" w:hAnsiTheme="minorHAnsi" w:cstheme="minorHAnsi"/>
          <w:szCs w:val="16"/>
        </w:rPr>
      </w:pPr>
      <w:r w:rsidRPr="003A557F">
        <w:rPr>
          <w:rFonts w:asciiTheme="minorHAnsi" w:hAnsiTheme="minorHAnsi" w:cstheme="minorHAnsi"/>
          <w:b/>
          <w:i/>
          <w:szCs w:val="16"/>
        </w:rPr>
        <w:t>Keywords:</w:t>
      </w:r>
      <w:r w:rsidRPr="003A557F">
        <w:rPr>
          <w:rFonts w:asciiTheme="minorHAnsi" w:hAnsiTheme="minorHAnsi" w:cstheme="minorHAnsi"/>
          <w:szCs w:val="16"/>
        </w:rPr>
        <w:t xml:space="preserve"> </w:t>
      </w:r>
      <w:r w:rsidR="00981A09" w:rsidRPr="00981A09">
        <w:rPr>
          <w:rFonts w:asciiTheme="minorHAnsi" w:hAnsiTheme="minorHAnsi" w:cstheme="minorHAnsi"/>
          <w:szCs w:val="16"/>
        </w:rPr>
        <w:t xml:space="preserve">video games; </w:t>
      </w:r>
      <w:proofErr w:type="spellStart"/>
      <w:r w:rsidR="00981A09" w:rsidRPr="00981A09">
        <w:rPr>
          <w:rFonts w:asciiTheme="minorHAnsi" w:hAnsiTheme="minorHAnsi" w:cstheme="minorHAnsi"/>
          <w:szCs w:val="16"/>
        </w:rPr>
        <w:t>archaeogaming</w:t>
      </w:r>
      <w:proofErr w:type="spellEnd"/>
      <w:r w:rsidR="00981A09" w:rsidRPr="00981A09">
        <w:rPr>
          <w:rFonts w:asciiTheme="minorHAnsi" w:hAnsiTheme="minorHAnsi" w:cstheme="minorHAnsi"/>
          <w:szCs w:val="16"/>
        </w:rPr>
        <w:t xml:space="preserve">; pedagogy; </w:t>
      </w:r>
      <w:r w:rsidR="00981A09">
        <w:rPr>
          <w:rFonts w:asciiTheme="minorHAnsi" w:hAnsiTheme="minorHAnsi" w:cstheme="minorHAnsi"/>
          <w:szCs w:val="16"/>
        </w:rPr>
        <w:t xml:space="preserve">online education; </w:t>
      </w:r>
      <w:r w:rsidR="00981A09" w:rsidRPr="00981A09">
        <w:rPr>
          <w:rFonts w:asciiTheme="minorHAnsi" w:hAnsiTheme="minorHAnsi" w:cstheme="minorHAnsi"/>
          <w:szCs w:val="16"/>
        </w:rPr>
        <w:t>digital humanities</w:t>
      </w:r>
      <w:r w:rsidR="0088258C">
        <w:rPr>
          <w:rFonts w:asciiTheme="minorHAnsi" w:hAnsiTheme="minorHAnsi" w:cstheme="minorHAnsi"/>
          <w:szCs w:val="16"/>
        </w:rPr>
        <w:t>; case study</w:t>
      </w:r>
    </w:p>
    <w:p w14:paraId="2C2373C8" w14:textId="77777777" w:rsidR="005D7916" w:rsidRPr="003A557F" w:rsidRDefault="005D7916" w:rsidP="00CE127D">
      <w:pPr>
        <w:pStyle w:val="PCJtext"/>
        <w:rPr>
          <w:sz w:val="28"/>
        </w:rPr>
      </w:pPr>
    </w:p>
    <w:p w14:paraId="671D80EB" w14:textId="77777777" w:rsidR="005D7916" w:rsidRDefault="005D7916" w:rsidP="00CE127D">
      <w:pPr>
        <w:pStyle w:val="PCJtext"/>
        <w:ind w:firstLine="0"/>
      </w:pPr>
    </w:p>
    <w:p w14:paraId="71E7993A" w14:textId="77777777" w:rsidR="00707C2E" w:rsidRDefault="00707C2E" w:rsidP="00CE127D">
      <w:pPr>
        <w:jc w:val="left"/>
        <w:rPr>
          <w:rFonts w:asciiTheme="minorHAnsi" w:hAnsiTheme="minorHAnsi"/>
          <w:b/>
          <w:sz w:val="24"/>
        </w:rPr>
      </w:pPr>
      <w:bookmarkStart w:id="1" w:name="_Toc99629444"/>
      <w:r>
        <w:br w:type="page"/>
      </w:r>
    </w:p>
    <w:p w14:paraId="5CEE2873" w14:textId="77777777" w:rsidR="002B68D3" w:rsidRPr="002B68D3" w:rsidRDefault="002B68D3" w:rsidP="00CE127D">
      <w:pPr>
        <w:pStyle w:val="PCJSection"/>
      </w:pPr>
      <w:r w:rsidRPr="002B68D3">
        <w:lastRenderedPageBreak/>
        <w:t>Introduction</w:t>
      </w:r>
      <w:bookmarkEnd w:id="1"/>
    </w:p>
    <w:p w14:paraId="6BE36BB2" w14:textId="0515EC83" w:rsidR="003F5833" w:rsidRDefault="001E4FA9" w:rsidP="005024B5">
      <w:pPr>
        <w:pStyle w:val="PCJtext"/>
      </w:pPr>
      <w:r>
        <w:t xml:space="preserve">The past decade has seen substantial declines in the number of humanities majors at universities throughtout the United States. A recent study by the American Historical Association demonstrated, for example, a decline of more than 20% in Humanities majors and a decline of more than 30% in History majors (Schmidt 2018). These declines, perhaps unsurprisingly, have also been accompanied by </w:t>
      </w:r>
      <w:r w:rsidR="003410B2">
        <w:t>a substanti</w:t>
      </w:r>
      <w:r w:rsidR="00554939">
        <w:t>al</w:t>
      </w:r>
      <w:r w:rsidR="003410B2">
        <w:t xml:space="preserve"> decrease in the number of students enrolled in these courses (Brookins 2018). </w:t>
      </w:r>
      <w:r w:rsidR="00396401">
        <w:t xml:space="preserve">While the causes behind this decline are mutlifaceted, it seems clear that Humanities disciplines need to innovate and evolve if they are to play a central role in higher education in the decades to come. </w:t>
      </w:r>
    </w:p>
    <w:p w14:paraId="56DD9951" w14:textId="08525B5E" w:rsidR="003A39ED" w:rsidRDefault="003F5833" w:rsidP="005024B5">
      <w:pPr>
        <w:pStyle w:val="PCJtext"/>
      </w:pPr>
      <w:r>
        <w:t xml:space="preserve">This project seeks to </w:t>
      </w:r>
      <w:r w:rsidR="006B762F">
        <w:t>address these declines by testing</w:t>
      </w:r>
      <w:r>
        <w:t xml:space="preserve"> whether innovative</w:t>
      </w:r>
      <w:r w:rsidR="00396401">
        <w:t xml:space="preserve"> </w:t>
      </w:r>
      <w:r w:rsidR="006B762F">
        <w:t xml:space="preserve">digital </w:t>
      </w:r>
      <w:r w:rsidR="00396401">
        <w:t xml:space="preserve">teaching methods may lead to greater student satisifaction and an increase in the achievement of learning outcomes. </w:t>
      </w:r>
      <w:r>
        <w:t>In particular, this project aims</w:t>
      </w:r>
      <w:r w:rsidR="001E4FA9">
        <w:t xml:space="preserve"> to better understand the problems and potential associated with integrating video games as a teaching tool in the Classics classroom. </w:t>
      </w:r>
      <w:r w:rsidR="007D1A12">
        <w:t>To accomplish this, this paper provides</w:t>
      </w:r>
      <w:r>
        <w:t xml:space="preserve"> a systematic </w:t>
      </w:r>
      <w:r w:rsidR="003A39ED">
        <w:t xml:space="preserve">case study focused on </w:t>
      </w:r>
      <w:r>
        <w:t xml:space="preserve">a single Classics course (Classics 160B1: Meet the Ancients: Gateway to Greece and Rome) in which students had the option to choose either a video game-based assignment sequence or a traditional reading response assignment sequence. </w:t>
      </w:r>
      <w:r w:rsidR="003A39ED">
        <w:t>After the course, students were provided with short quantitative and qualitative</w:t>
      </w:r>
      <w:r>
        <w:t xml:space="preserve"> </w:t>
      </w:r>
      <w:r w:rsidR="003A39ED">
        <w:t xml:space="preserve">survey in which they could reflect upon their learning experience, and these results were then compared between the students who opted for the video game-based assignment sequence and the more traditional assignment sequence. </w:t>
      </w:r>
      <w:r w:rsidR="005024B5">
        <w:t xml:space="preserve"> </w:t>
      </w:r>
    </w:p>
    <w:p w14:paraId="3D538B5A" w14:textId="7682C4AC" w:rsidR="005024B5" w:rsidRDefault="005024B5" w:rsidP="005024B5">
      <w:pPr>
        <w:pStyle w:val="PCJtext"/>
      </w:pPr>
      <w:r>
        <w:t xml:space="preserve">Developing a better sense for the way in which students perceive </w:t>
      </w:r>
      <w:r w:rsidR="006B762F">
        <w:t>the use of video games as a teaching tool</w:t>
      </w:r>
      <w:r>
        <w:t xml:space="preserve">, both </w:t>
      </w:r>
      <w:r w:rsidR="006B762F">
        <w:t>its</w:t>
      </w:r>
      <w:r>
        <w:t xml:space="preserve"> strengths and weaknesses</w:t>
      </w:r>
      <w:r w:rsidR="006B762F">
        <w:t>,</w:t>
      </w:r>
      <w:r>
        <w:t xml:space="preserve"> provides the potential to i</w:t>
      </w:r>
      <w:r w:rsidR="006B762F">
        <w:t xml:space="preserve">mprove archaeology and history courses which may lead to icnreased </w:t>
      </w:r>
      <w:r>
        <w:t>enrollments, major declarations, and achievement of learning outcomes.</w:t>
      </w:r>
    </w:p>
    <w:p w14:paraId="7EA91502" w14:textId="5A231EB3" w:rsidR="007D1A12" w:rsidRPr="004F6D15" w:rsidRDefault="007D1A12" w:rsidP="007D1A12">
      <w:pPr>
        <w:pStyle w:val="PCJSection"/>
        <w:rPr>
          <w:lang w:val="fr-FR"/>
        </w:rPr>
      </w:pPr>
      <w:bookmarkStart w:id="2" w:name="_Hlk142048622"/>
      <w:r>
        <w:rPr>
          <w:lang w:val="fr-FR"/>
        </w:rPr>
        <w:t>Literature Review</w:t>
      </w:r>
    </w:p>
    <w:p w14:paraId="15869AD6" w14:textId="36FB8B11" w:rsidR="007D1A12" w:rsidRPr="007D1A12" w:rsidRDefault="007D1A12" w:rsidP="007D1A12">
      <w:pPr>
        <w:pStyle w:val="PCJSubsection"/>
        <w:rPr>
          <w:lang w:val="fr-FR"/>
        </w:rPr>
      </w:pPr>
      <w:r>
        <w:rPr>
          <w:lang w:val="fr-FR"/>
        </w:rPr>
        <w:t>Video Games as Pedagogical Tools</w:t>
      </w:r>
    </w:p>
    <w:p w14:paraId="7DA7F3E6" w14:textId="283CC7C6" w:rsidR="00793B5D" w:rsidRDefault="006B762F" w:rsidP="00D7126C">
      <w:pPr>
        <w:pStyle w:val="PCJtext"/>
      </w:pPr>
      <w:bookmarkStart w:id="3" w:name="_Hlk142033450"/>
      <w:r>
        <w:t xml:space="preserve">The idea behind using video games as a pedagogical instrument is to meet students where they currently are. The prevalence of video games and gaming has increased dramatically </w:t>
      </w:r>
      <w:r w:rsidR="00867E14">
        <w:t>in recent years</w:t>
      </w:r>
      <w:r w:rsidR="002576D3">
        <w:t>, and the industry as a whole</w:t>
      </w:r>
      <w:r>
        <w:t xml:space="preserve"> has</w:t>
      </w:r>
      <w:r w:rsidR="002576D3">
        <w:t xml:space="preserve"> recently</w:t>
      </w:r>
      <w:r>
        <w:t xml:space="preserve"> </w:t>
      </w:r>
      <w:r w:rsidR="00793B5D">
        <w:t>surpas</w:t>
      </w:r>
      <w:r>
        <w:t>sed</w:t>
      </w:r>
      <w:r w:rsidR="00793B5D">
        <w:t xml:space="preserve"> a valuation of $100 billion</w:t>
      </w:r>
      <w:r w:rsidR="002576D3">
        <w:t xml:space="preserve">, </w:t>
      </w:r>
      <w:r w:rsidR="00793B5D">
        <w:t>cater</w:t>
      </w:r>
      <w:r w:rsidR="002576D3">
        <w:t>ing</w:t>
      </w:r>
      <w:r w:rsidR="00793B5D">
        <w:t xml:space="preserve"> to </w:t>
      </w:r>
      <w:r>
        <w:t xml:space="preserve">more than </w:t>
      </w:r>
      <w:r w:rsidR="00793B5D">
        <w:t>2.5 billion gamers globally</w:t>
      </w:r>
      <w:r>
        <w:t xml:space="preserve"> (</w:t>
      </w:r>
      <w:r w:rsidR="00981A09">
        <w:t>Gough 2018</w:t>
      </w:r>
      <w:r w:rsidR="00D7126C">
        <w:t>).</w:t>
      </w:r>
      <w:r w:rsidR="00793B5D">
        <w:t xml:space="preserve"> College campuses </w:t>
      </w:r>
      <w:r w:rsidR="00D7126C">
        <w:t xml:space="preserve">in particular are hubs for gaming activity, </w:t>
      </w:r>
      <w:r w:rsidR="00793B5D">
        <w:t xml:space="preserve">with over half of students engaging in video games occasionally or regularly, as </w:t>
      </w:r>
      <w:r w:rsidR="00D7126C">
        <w:t>shown</w:t>
      </w:r>
      <w:r w:rsidR="00793B5D">
        <w:t xml:space="preserve"> by a comprehensive study involving 1,000 student responses from 27 colleges (Jones, 2003). </w:t>
      </w:r>
      <w:r w:rsidR="002576D3">
        <w:t>These habits are cultivated at younger ages, with Cole (2012) highlighting that high schoolers, on average, play approximately 12 hours of video games per week.</w:t>
      </w:r>
      <w:r w:rsidR="00D7126C">
        <w:t xml:space="preserve"> </w:t>
      </w:r>
      <w:r w:rsidR="00867E14">
        <w:t>Moreover, the frequency with which games have been used as teaching tools has been increasing as well, with Takeuchi and Vaala (2014) suggesting that nearly three-quarters of teachers have used video games in their pedagogy at least once during a five year span in the 2010s.  Most college students, then, have experience playing video games, and many play video games for fun in their free time.</w:t>
      </w:r>
    </w:p>
    <w:p w14:paraId="7BBE44E3" w14:textId="1B9B1536" w:rsidR="002576D3" w:rsidRDefault="00793B5D" w:rsidP="00793B5D">
      <w:pPr>
        <w:pStyle w:val="PCJtext"/>
      </w:pPr>
      <w:r>
        <w:t xml:space="preserve">Educational research spanning two decades </w:t>
      </w:r>
      <w:r w:rsidR="002576D3">
        <w:t>has demonstrate</w:t>
      </w:r>
      <w:r w:rsidR="00867E14">
        <w:t>d</w:t>
      </w:r>
      <w:r w:rsidR="002576D3">
        <w:t xml:space="preserve"> </w:t>
      </w:r>
      <w:r>
        <w:t>the advantages of integrating video games into classrooms</w:t>
      </w:r>
      <w:r w:rsidR="002576D3">
        <w:t xml:space="preserve"> (</w:t>
      </w:r>
      <w:r w:rsidR="009255EB">
        <w:t xml:space="preserve">Brown 2008; </w:t>
      </w:r>
      <w:r w:rsidR="009255EB" w:rsidRPr="007D1A12">
        <w:t xml:space="preserve">Barr 2018; </w:t>
      </w:r>
      <w:r w:rsidR="009255EB">
        <w:t xml:space="preserve">Gibson et al. 2007; Khine 2011; </w:t>
      </w:r>
      <w:r w:rsidR="009255EB" w:rsidRPr="007D1A12">
        <w:t xml:space="preserve">Pitarch 2018, </w:t>
      </w:r>
      <w:r w:rsidR="009255EB">
        <w:t xml:space="preserve">Squire 2011; </w:t>
      </w:r>
      <w:r w:rsidR="009255EB" w:rsidRPr="007D1A12">
        <w:t>Young and Slota 2017</w:t>
      </w:r>
      <w:r w:rsidR="002576D3">
        <w:t>)</w:t>
      </w:r>
      <w:r>
        <w:t>, particularly in history and archaeology</w:t>
      </w:r>
      <w:r w:rsidR="002576D3">
        <w:t xml:space="preserve"> (</w:t>
      </w:r>
      <w:r w:rsidR="002576D3" w:rsidRPr="007D1A12">
        <w:t>Mol et al., eds. 2017; Mol et al. 2016; Politopoulos et al. 2019b; Reinhard 2012; Reinhard 2018</w:t>
      </w:r>
      <w:r w:rsidR="002576D3">
        <w:t>)</w:t>
      </w:r>
      <w:r>
        <w:t>.</w:t>
      </w:r>
      <w:r w:rsidR="002576D3">
        <w:t xml:space="preserve"> </w:t>
      </w:r>
      <w:r w:rsidR="005A1C6C">
        <w:t xml:space="preserve">These studies have suggested several benefits with regard to learning. </w:t>
      </w:r>
      <w:r w:rsidR="005A1C6C" w:rsidRPr="005A1C6C">
        <w:t xml:space="preserve">Empirical evidence suggests that video games </w:t>
      </w:r>
      <w:r w:rsidR="005A1C6C">
        <w:t>help foster</w:t>
      </w:r>
      <w:r w:rsidR="005A1C6C" w:rsidRPr="005A1C6C">
        <w:t xml:space="preserve"> students' emotional </w:t>
      </w:r>
      <w:r w:rsidR="005A1C6C">
        <w:t>connection</w:t>
      </w:r>
      <w:r w:rsidR="005A1C6C" w:rsidRPr="005A1C6C">
        <w:t xml:space="preserve"> toward the subject material, </w:t>
      </w:r>
      <w:r w:rsidR="005A1C6C">
        <w:t>provide</w:t>
      </w:r>
      <w:r w:rsidR="005A1C6C" w:rsidRPr="005A1C6C">
        <w:t xml:space="preserve"> them a platform for iterative feedback and skill honing, </w:t>
      </w:r>
      <w:r w:rsidR="005A1C6C">
        <w:t>promote</w:t>
      </w:r>
      <w:r w:rsidR="005A1C6C" w:rsidRPr="005A1C6C">
        <w:t xml:space="preserve"> dynamic engagement, </w:t>
      </w:r>
      <w:r w:rsidR="005A1C6C">
        <w:t>nuture</w:t>
      </w:r>
      <w:r w:rsidR="005A1C6C" w:rsidRPr="005A1C6C">
        <w:t xml:space="preserve"> innovative cognitive processes, and </w:t>
      </w:r>
      <w:r w:rsidR="005A1C6C">
        <w:t>enable</w:t>
      </w:r>
      <w:r w:rsidR="005A1C6C" w:rsidRPr="005A1C6C">
        <w:t xml:space="preserve"> the broadening of perspectives (Griffiths, 2002; Mitchell &amp; Savill-Smith, 2004). This assertion finds reinforcement in a meta-analysis conducted in 201</w:t>
      </w:r>
      <w:r w:rsidR="009255EB">
        <w:t>6</w:t>
      </w:r>
      <w:r w:rsidR="005A1C6C" w:rsidRPr="005A1C6C">
        <w:t>, encompassing 57 studies centered on video game pedagogy, which substantiated a noteworthy and statistically meaningful enhancement in the attainment of educational objectives among students who participated in digital gaming interventions, as compared to their non-participatory counterparts (Clark, Tanner-Smith, &amp; Killingsworth).</w:t>
      </w:r>
    </w:p>
    <w:p w14:paraId="33FC231B" w14:textId="36681CF2" w:rsidR="005A1C6C" w:rsidRDefault="005A1C6C" w:rsidP="005A1C6C">
      <w:pPr>
        <w:pStyle w:val="PCJtext"/>
      </w:pPr>
      <w:r>
        <w:t>These findings have been supporte</w:t>
      </w:r>
      <w:r w:rsidR="00E22259">
        <w:t>d</w:t>
      </w:r>
      <w:r>
        <w:t xml:space="preserve"> within the fields of archaeology and history. In 2008, a study conducted by Squire et al. exhibited that students engaging with the historically-embedded game series </w:t>
      </w:r>
      <w:r w:rsidRPr="005A1C6C">
        <w:rPr>
          <w:i/>
          <w:iCs/>
        </w:rPr>
        <w:t>Civilization</w:t>
      </w:r>
      <w:r>
        <w:t xml:space="preserve"> expressed heightened enthusiasm for historical subject matter in contrast to their peers who were exposed to conventional text-based and lecture-based instructional approaches. Over the course of </w:t>
      </w:r>
      <w:r>
        <w:lastRenderedPageBreak/>
        <w:t xml:space="preserve">the last decade, McCall and other scholars have consistently advocated for the utility of video games in inciting interest within the field, replicating historical scenarios, and facilitating dynamic involvement in historical decision-making (McCall, </w:t>
      </w:r>
      <w:r w:rsidR="009255EB">
        <w:t>2013</w:t>
      </w:r>
      <w:r>
        <w:t>, 2014, 2016, 2019). Mol et al.'s work, "The Interactive Past" (2017), presents a compelling argument regarding games' efficacy in conveying cultural knowledge and engaging users actively with archaeological sites.</w:t>
      </w:r>
      <w:r w:rsidR="00E22259">
        <w:t xml:space="preserve"> </w:t>
      </w:r>
      <w:r w:rsidR="00E22259" w:rsidRPr="00E80D27">
        <w:rPr>
          <w:i/>
          <w:iCs/>
        </w:rPr>
        <w:t>Minecraft</w:t>
      </w:r>
      <w:r w:rsidR="00E22259" w:rsidRPr="00E22259">
        <w:t xml:space="preserve">, for instance, has been employed to </w:t>
      </w:r>
      <w:r w:rsidR="00E22259">
        <w:t>give</w:t>
      </w:r>
      <w:r w:rsidR="00E22259" w:rsidRPr="00E22259">
        <w:t xml:space="preserve"> users the </w:t>
      </w:r>
      <w:r w:rsidR="00E22259">
        <w:t>ability</w:t>
      </w:r>
      <w:r w:rsidR="00E22259" w:rsidRPr="00E22259">
        <w:t xml:space="preserve"> to construct and explore cultural heritage (Mol et al., 2016: 14; Boom et al., 2020: 39-41)</w:t>
      </w:r>
      <w:r w:rsidR="00E22259">
        <w:t xml:space="preserve">, and Politopoulos’ (2019b) </w:t>
      </w:r>
      <w:r w:rsidR="00E22259">
        <w:rPr>
          <w:i/>
          <w:iCs/>
        </w:rPr>
        <w:t>RoMeincraft</w:t>
      </w:r>
      <w:r w:rsidR="00E22259">
        <w:t xml:space="preserve"> lets students reconstruct infrrastructure and explore a digital version of the Roman frontier.</w:t>
      </w:r>
      <w:r w:rsidR="00E22259" w:rsidRPr="00E22259">
        <w:t xml:space="preserve"> </w:t>
      </w:r>
    </w:p>
    <w:p w14:paraId="3A617BF7" w14:textId="76B1A0D5" w:rsidR="00F21581" w:rsidRDefault="00E80D27" w:rsidP="00F21581">
      <w:pPr>
        <w:pStyle w:val="PCJtext"/>
      </w:pPr>
      <w:r>
        <w:t xml:space="preserve">There are, however, significant obstacles to implementing games in the classroom. </w:t>
      </w:r>
      <w:r w:rsidRPr="00E80D27">
        <w:t xml:space="preserve">Financial constraints arise due to costly software (around $60 per student) and premium hardware requirements for graphics-intensive games, which can exceed $300. Steep learning curves and mature content ratings pose challenges, with games like </w:t>
      </w:r>
      <w:r w:rsidRPr="00E80D27">
        <w:rPr>
          <w:i/>
          <w:iCs/>
        </w:rPr>
        <w:t>Red Dead Redemption 2</w:t>
      </w:r>
      <w:r w:rsidRPr="00E80D27">
        <w:t xml:space="preserve"> demanding considerable time and often containing violent elements. Moreover, balancing fiction with factual content presents pedagogical difficulties, as seen in </w:t>
      </w:r>
      <w:r>
        <w:t xml:space="preserve">everything from </w:t>
      </w:r>
      <w:r w:rsidRPr="00E80D27">
        <w:rPr>
          <w:i/>
          <w:iCs/>
        </w:rPr>
        <w:t>Civilization</w:t>
      </w:r>
      <w:r>
        <w:t xml:space="preserve"> to </w:t>
      </w:r>
      <w:r w:rsidRPr="00E80D27">
        <w:rPr>
          <w:i/>
          <w:iCs/>
        </w:rPr>
        <w:t>Assassin’s Creed</w:t>
      </w:r>
      <w:r>
        <w:t>.</w:t>
      </w:r>
    </w:p>
    <w:p w14:paraId="66EB340A" w14:textId="77777777" w:rsidR="00F21581" w:rsidRDefault="00F21581" w:rsidP="00F21581">
      <w:pPr>
        <w:pStyle w:val="PCJSubsection"/>
        <w:rPr>
          <w:lang w:val="fr-FR"/>
        </w:rPr>
      </w:pPr>
      <w:r>
        <w:rPr>
          <w:lang w:val="fr-FR"/>
        </w:rPr>
        <w:t>Assassin’s Creed : Odyssey</w:t>
      </w:r>
    </w:p>
    <w:p w14:paraId="3F3EFE49" w14:textId="77777777" w:rsidR="00F21581" w:rsidRDefault="00F21581" w:rsidP="00F21581">
      <w:pPr>
        <w:pStyle w:val="PCJtext"/>
        <w:ind w:firstLine="0"/>
      </w:pPr>
    </w:p>
    <w:p w14:paraId="4B2CC2DD" w14:textId="5355FF7B" w:rsidR="00F21581" w:rsidRPr="007D1A12" w:rsidRDefault="00F21581" w:rsidP="00F21581">
      <w:pPr>
        <w:pStyle w:val="PCJtext"/>
      </w:pPr>
      <w:r>
        <w:t xml:space="preserve">This case study uses </w:t>
      </w:r>
      <w:r w:rsidRPr="007D1A12">
        <w:t xml:space="preserve">Ubisoft’s 2018 epic adventure </w:t>
      </w:r>
      <w:r w:rsidRPr="007D1A12">
        <w:rPr>
          <w:i/>
          <w:iCs/>
        </w:rPr>
        <w:t>Assassin’s Creed: Odyssey</w:t>
      </w:r>
      <w:r w:rsidRPr="007D1A12">
        <w:t xml:space="preserve"> </w:t>
      </w:r>
      <w:r>
        <w:t xml:space="preserve">as the focal point for its video game assignment sequence. The game itself is an action-adventure role playing game, and the user plays as a protagonist caught in the middle of the Peloponnesian War between Athens and Sparta (431-404 BCE) within the larger setting of the Classical Greek world. </w:t>
      </w:r>
    </w:p>
    <w:p w14:paraId="5001D905" w14:textId="7879E3E6" w:rsidR="00F21581" w:rsidRDefault="00F21581" w:rsidP="00E80D27">
      <w:pPr>
        <w:pStyle w:val="PCJtext"/>
      </w:pPr>
      <w:r w:rsidRPr="00F21581">
        <w:rPr>
          <w:i/>
          <w:iCs/>
        </w:rPr>
        <w:t>Assassin's Creed: Odyssey</w:t>
      </w:r>
      <w:r w:rsidRPr="00F21581">
        <w:t xml:space="preserve"> has garnered both critical acclaim and commercial success. Within its debut week, it </w:t>
      </w:r>
      <w:r w:rsidR="00625105">
        <w:t>sold more than</w:t>
      </w:r>
      <w:r w:rsidRPr="00F21581">
        <w:t xml:space="preserve"> one million copies, contributing to the series' cumulative worldwide sales of over 140 million copies to date. The game has garnered nominations for numerous industry awards and has consistently received laudatory reviews, with particular emphasis on its meticulously crafted setting (Metacritic, 2018). </w:t>
      </w:r>
      <w:r>
        <w:t>T</w:t>
      </w:r>
      <w:r w:rsidRPr="00F21581">
        <w:t>he game's intricate depiction of the ancient Greek terrain, encompassing cities, temples, and everyday life</w:t>
      </w:r>
      <w:r>
        <w:t xml:space="preserve"> is particularly noteworthy</w:t>
      </w:r>
      <w:r w:rsidRPr="00F21581">
        <w:t xml:space="preserve">. This accomplishment is not merely </w:t>
      </w:r>
      <w:r w:rsidR="00B51118">
        <w:t>a driver</w:t>
      </w:r>
      <w:r w:rsidRPr="00F21581">
        <w:t xml:space="preserve"> of the game's excellence or popularity; it</w:t>
      </w:r>
      <w:r w:rsidR="00B51118">
        <w:t xml:space="preserve"> also highlights</w:t>
      </w:r>
      <w:r w:rsidRPr="00F21581">
        <w:t xml:space="preserve"> the potential utility of this immersive digital environment as a novel means to engross students in the landscape of ancient Greece</w:t>
      </w:r>
      <w:r w:rsidR="00B51118">
        <w:t>.</w:t>
      </w:r>
    </w:p>
    <w:p w14:paraId="0EB18893" w14:textId="2448CA8C" w:rsidR="00F21581" w:rsidRDefault="00F21581" w:rsidP="00F21581">
      <w:pPr>
        <w:pStyle w:val="PCJtext"/>
      </w:pPr>
      <w:r>
        <w:t xml:space="preserve">However, the game was designed for commercial success, resulting in the inclusion of several elements that raise issues concerning its suitability for educational settings. The levels of historical accuracy within the game exhibit a notable variance. While the portrayal of the Temple of Zeus at Olympia largely adheres to </w:t>
      </w:r>
      <w:r w:rsidR="00B51118">
        <w:t>the archaeologica</w:t>
      </w:r>
      <w:r w:rsidR="00625105">
        <w:t>l</w:t>
      </w:r>
      <w:r w:rsidR="00B51118">
        <w:t xml:space="preserve"> and historical evidence</w:t>
      </w:r>
      <w:r>
        <w:t>, other architectural details lack comparable</w:t>
      </w:r>
      <w:r w:rsidR="00B51118">
        <w:t xml:space="preserve"> accuracy</w:t>
      </w:r>
      <w:r>
        <w:t>. The Parthenon, for instance, is presented as a Doric temple replete with triglyphs, metopes, and pedimental sculptures; however, this sculptural arrangement deviates from established archaeological and historical evidence. Furthermore, the characterization of historical figures prioritizes alignment with the game's narrative progression over strict historical precision</w:t>
      </w:r>
      <w:r w:rsidR="00B51118">
        <w:t xml:space="preserve">, and </w:t>
      </w:r>
      <w:r>
        <w:t xml:space="preserve">the game's </w:t>
      </w:r>
      <w:r w:rsidR="00B51118">
        <w:t>focus</w:t>
      </w:r>
      <w:r>
        <w:t xml:space="preserve"> on an individual protagonist results in a </w:t>
      </w:r>
      <w:r w:rsidR="00B51118">
        <w:t>style</w:t>
      </w:r>
      <w:r>
        <w:t xml:space="preserve"> of warfare that markedly contrasts with the phalanx-based combat of Archaic and Classical Greece. While certain locales such as Athens offer an immersive urban environment, others, such as the plethora of wooden forts, are criticized for their repetitive and generic nature (Politopoulos et al., 2019a: 319-22).</w:t>
      </w:r>
      <w:r w:rsidR="00B51118">
        <w:t xml:space="preserve"> Moreover</w:t>
      </w:r>
      <w:r>
        <w:t>, the inherent violence embedded within the game poses a substantial impediment to its applicability in pedagogical contexts</w:t>
      </w:r>
      <w:r w:rsidR="00B51118">
        <w:t xml:space="preserve">, and </w:t>
      </w:r>
      <w:r>
        <w:t xml:space="preserve">the central questline </w:t>
      </w:r>
      <w:r w:rsidR="00B51118">
        <w:t xml:space="preserve">can </w:t>
      </w:r>
      <w:r>
        <w:t xml:space="preserve">require over 50 hours </w:t>
      </w:r>
      <w:r w:rsidR="00B51118">
        <w:t>to</w:t>
      </w:r>
      <w:r>
        <w:t xml:space="preserve"> complet</w:t>
      </w:r>
      <w:r w:rsidR="00B51118">
        <w:t xml:space="preserve">e, making it difficult to use </w:t>
      </w:r>
      <w:r>
        <w:t>, and the engagement in optional quests necessitates an additional gameplay duration exceeding 100 hours (HowLongToBeat, 2019). In fact, it demands more than five hours of gameplay to reach the introductory credits alone.</w:t>
      </w:r>
    </w:p>
    <w:bookmarkEnd w:id="3"/>
    <w:p w14:paraId="0CE2741F" w14:textId="1676BF42" w:rsidR="00625105" w:rsidRDefault="00625105" w:rsidP="00625105">
      <w:pPr>
        <w:pStyle w:val="PCJtext"/>
      </w:pPr>
      <w:r>
        <w:t>Ubisoft has aimed to solve these concerns through the introduction of the Discovery Tour mode in its development efforts. This mode offers game players unrestricted access to the entire virtual world, eliminating the warfare component while enabling exploration of the digital landscape (Dingman, 2019). Moreover, it presents curated guided tours led by archaeologists and historians, encompassing diverse locales, urban areas, and landmarks, with the explicit aim of educating interested gamers and students. Poiron, a consultant on the Assassin’s Creed: Origins Discovery Tour mode, underscores the meticulous research and curation underpinning the creation of these educational segments (Poiron, 2021). While some scholars perceive this as a valuable educational instrument (Hotton, 2018), others critique the Discovery Tour mode for its diminished interactive quality compared to the core gameplay (Mol, 2018).</w:t>
      </w:r>
    </w:p>
    <w:p w14:paraId="44CA91C6" w14:textId="6C715878" w:rsidR="007D1A12" w:rsidRDefault="00625105" w:rsidP="00B51118">
      <w:pPr>
        <w:pStyle w:val="PCJtext"/>
      </w:pPr>
      <w:r>
        <w:lastRenderedPageBreak/>
        <w:t xml:space="preserve">Preliminary scholarship on the use of </w:t>
      </w:r>
      <w:r w:rsidRPr="00400768">
        <w:rPr>
          <w:i/>
          <w:iCs/>
        </w:rPr>
        <w:t>Assassin’s Creed: Odyssey</w:t>
      </w:r>
      <w:r>
        <w:t xml:space="preserve"> as a teaching tool has produced mixed results. Essentially, scholars are grappling with Politipoulos’ (2019a) question, “</w:t>
      </w:r>
      <w:r w:rsidR="007D1A12" w:rsidRPr="007D1A12">
        <w:t>do we engage in meaningful play with the past, or are we simply assassinating our way through history? (317).” Gilbert’s 2019 study</w:t>
      </w:r>
      <w:r>
        <w:t xml:space="preserve"> that assessed student feedback </w:t>
      </w:r>
      <w:r w:rsidR="00400768">
        <w:t>regarding</w:t>
      </w:r>
      <w:r>
        <w:t xml:space="preserve"> video game based learning suggested that students were indeed more engaged in the material but often missed opportunities for deeper investigation. And Politopoulos et al. (2019a: 322) suggests that the action of </w:t>
      </w:r>
      <w:r w:rsidRPr="00400768">
        <w:rPr>
          <w:i/>
          <w:iCs/>
        </w:rPr>
        <w:t>Assassin’s Creed</w:t>
      </w:r>
      <w:r>
        <w:t xml:space="preserve"> is more akin to a blockbuster movie than </w:t>
      </w:r>
      <w:r w:rsidR="00400768">
        <w:t>to a simulation of historical social, economic, political, or military dynamics. These students suggest, then, that the game holds potential as a useful pedagogical tool, but it is necessary to thoughtfully design learning activities for students rather than rely on solely on the game’s main storyline or Discovery Tour mode.</w:t>
      </w:r>
    </w:p>
    <w:p w14:paraId="22E173E9" w14:textId="77777777" w:rsidR="002B68D3" w:rsidRPr="004F6D15" w:rsidRDefault="002B68D3" w:rsidP="00CE127D">
      <w:pPr>
        <w:pStyle w:val="PCJSection"/>
        <w:rPr>
          <w:lang w:val="fr-FR"/>
        </w:rPr>
      </w:pPr>
      <w:bookmarkStart w:id="4" w:name="_Toc99629445"/>
      <w:bookmarkEnd w:id="2"/>
      <w:r w:rsidRPr="004F6D15">
        <w:rPr>
          <w:lang w:val="fr-FR"/>
        </w:rPr>
        <w:t>Methods</w:t>
      </w:r>
      <w:bookmarkEnd w:id="4"/>
    </w:p>
    <w:p w14:paraId="1076EB65" w14:textId="77777777" w:rsidR="005024B5" w:rsidRPr="005024B5" w:rsidRDefault="005024B5" w:rsidP="005024B5">
      <w:pPr>
        <w:pStyle w:val="PCJtext"/>
        <w:rPr>
          <w:lang w:val="fr-FR"/>
        </w:rPr>
      </w:pPr>
      <w:r w:rsidRPr="005024B5">
        <w:rPr>
          <w:lang w:val="fr-FR"/>
        </w:rPr>
        <w:t xml:space="preserve">This IRB-approved case study took place during the Fall 2021 semester within my asynchronous online course, Classics 160B1: Meet the Ancients: Gateway to Greece and Rome. The goal was twofold. First, it aimed at gathering qualitative and quantitative student feedback regarding the use of video games as a teaching tool in the college classroom. Second, the study aimed to evaluate the relative strength of this new teaching method by comparing it to more traditional pedagogical methods. </w:t>
      </w:r>
    </w:p>
    <w:p w14:paraId="3D3136F7" w14:textId="031DEE4E" w:rsidR="005024B5" w:rsidRPr="005024B5" w:rsidRDefault="005024B5" w:rsidP="005024B5">
      <w:pPr>
        <w:pStyle w:val="PCJtext"/>
        <w:rPr>
          <w:lang w:val="fr-FR"/>
        </w:rPr>
      </w:pPr>
      <w:r w:rsidRPr="005024B5">
        <w:rPr>
          <w:lang w:val="fr-FR"/>
        </w:rPr>
        <w:t xml:space="preserve">To accomplish this, the 266 students enrolled in </w:t>
      </w:r>
      <w:r w:rsidR="004B3347">
        <w:rPr>
          <w:lang w:val="fr-FR"/>
        </w:rPr>
        <w:t>the</w:t>
      </w:r>
      <w:r w:rsidRPr="005024B5">
        <w:rPr>
          <w:lang w:val="fr-FR"/>
        </w:rPr>
        <w:t xml:space="preserve"> course</w:t>
      </w:r>
      <w:r w:rsidR="004B3347">
        <w:rPr>
          <w:lang w:val="fr-FR"/>
        </w:rPr>
        <w:t xml:space="preserve"> were given</w:t>
      </w:r>
      <w:r w:rsidRPr="005024B5">
        <w:rPr>
          <w:lang w:val="fr-FR"/>
        </w:rPr>
        <w:t xml:space="preserve"> the option to complete one of two assignment sequences. The video-game based sequence asked students to complete a series of 6 assignments In which they would explore some component of the game, read an excerpt from an ancient text, and write a 300+ word essay. The traditional sequence asked students to complete a series of 6 assignments in which they focused solely on reading an ancient text and writing a 300+ word response. Thus, in both sequences students were asked to engage with ancient texts and produce 300+ word written responses.</w:t>
      </w:r>
      <w:r w:rsidR="004B3347">
        <w:rPr>
          <w:lang w:val="fr-FR"/>
        </w:rPr>
        <w:t xml:space="preserve"> </w:t>
      </w:r>
      <w:r w:rsidRPr="005024B5">
        <w:rPr>
          <w:lang w:val="fr-FR"/>
        </w:rPr>
        <w:t>By running parallel assignment sequences within a single course, and constructing similar assignment deliverables, the aim was to better isolate the impact of video games on student perceptions of the teaching and learning process.</w:t>
      </w:r>
    </w:p>
    <w:p w14:paraId="3E286FD6" w14:textId="42CB0D0A" w:rsidR="008263E4" w:rsidRDefault="005024B5" w:rsidP="005024B5">
      <w:pPr>
        <w:pStyle w:val="PCJtext"/>
        <w:rPr>
          <w:lang w:val="fr-FR"/>
        </w:rPr>
      </w:pPr>
      <w:r w:rsidRPr="005024B5">
        <w:rPr>
          <w:lang w:val="fr-FR"/>
        </w:rPr>
        <w:t xml:space="preserve">After completing the course, students were sent an IRB-approved survey that consisted of </w:t>
      </w:r>
      <w:r w:rsidR="004B3347">
        <w:rPr>
          <w:lang w:val="fr-FR"/>
        </w:rPr>
        <w:t>14</w:t>
      </w:r>
      <w:r w:rsidRPr="005024B5">
        <w:rPr>
          <w:lang w:val="fr-FR"/>
        </w:rPr>
        <w:t xml:space="preserve"> questions, including yes/no, Likert scale, and free response questions. These questions were meant to get a sense for prior video game experience, assignment sequence enjoyment, and specific characteristics of each assignment that increased student learning. </w:t>
      </w:r>
      <w:r w:rsidR="00AA333C">
        <w:rPr>
          <w:lang w:val="fr-FR"/>
        </w:rPr>
        <w:t>The survey included the following questions:</w:t>
      </w:r>
    </w:p>
    <w:p w14:paraId="6909BE21" w14:textId="1B5B34C5" w:rsidR="00AA333C" w:rsidRDefault="00AA333C" w:rsidP="00AA333C">
      <w:pPr>
        <w:pStyle w:val="PCJtext"/>
        <w:numPr>
          <w:ilvl w:val="0"/>
          <w:numId w:val="8"/>
        </w:numPr>
        <w:rPr>
          <w:lang w:val="fr-FR"/>
        </w:rPr>
      </w:pPr>
      <w:r w:rsidRPr="00AA333C">
        <w:rPr>
          <w:lang w:val="fr-FR"/>
        </w:rPr>
        <w:t>Do you play video games outside of this class?</w:t>
      </w:r>
      <w:r>
        <w:rPr>
          <w:lang w:val="fr-FR"/>
        </w:rPr>
        <w:t xml:space="preserve"> (yes/no)</w:t>
      </w:r>
    </w:p>
    <w:p w14:paraId="6A5DB7B9" w14:textId="28F1638B" w:rsidR="00AA333C" w:rsidRDefault="00AA333C" w:rsidP="00AA333C">
      <w:pPr>
        <w:pStyle w:val="PCJtext"/>
        <w:numPr>
          <w:ilvl w:val="0"/>
          <w:numId w:val="8"/>
        </w:numPr>
        <w:rPr>
          <w:lang w:val="fr-FR"/>
        </w:rPr>
      </w:pPr>
      <w:r w:rsidRPr="00AA333C">
        <w:rPr>
          <w:lang w:val="fr-FR"/>
        </w:rPr>
        <w:t>About how many hours a week, if any, do you spend playing video games for fun?</w:t>
      </w:r>
      <w:r>
        <w:rPr>
          <w:lang w:val="fr-FR"/>
        </w:rPr>
        <w:t xml:space="preserve"> (numerical)</w:t>
      </w:r>
    </w:p>
    <w:p w14:paraId="1865C3D6" w14:textId="7B5EE23F" w:rsidR="00AA333C" w:rsidRDefault="00AA333C" w:rsidP="00AA333C">
      <w:pPr>
        <w:pStyle w:val="PCJtext"/>
        <w:numPr>
          <w:ilvl w:val="0"/>
          <w:numId w:val="8"/>
        </w:numPr>
        <w:rPr>
          <w:lang w:val="fr-FR"/>
        </w:rPr>
      </w:pPr>
      <w:r w:rsidRPr="00AA333C">
        <w:rPr>
          <w:lang w:val="fr-FR"/>
        </w:rPr>
        <w:t>Have you played any games in the Assassin's Creed series before this class?</w:t>
      </w:r>
      <w:r>
        <w:rPr>
          <w:lang w:val="fr-FR"/>
        </w:rPr>
        <w:t xml:space="preserve"> (yes/no)</w:t>
      </w:r>
    </w:p>
    <w:p w14:paraId="4B437A13" w14:textId="00D201D0" w:rsidR="00AA333C" w:rsidRDefault="00AA333C" w:rsidP="00AA333C">
      <w:pPr>
        <w:pStyle w:val="PCJtext"/>
        <w:numPr>
          <w:ilvl w:val="0"/>
          <w:numId w:val="8"/>
        </w:numPr>
        <w:rPr>
          <w:lang w:val="fr-FR"/>
        </w:rPr>
      </w:pPr>
      <w:r w:rsidRPr="00AA333C">
        <w:rPr>
          <w:lang w:val="fr-FR"/>
        </w:rPr>
        <w:t>Have you played Assassin's Creed: Odyssey before this class?</w:t>
      </w:r>
      <w:r>
        <w:rPr>
          <w:lang w:val="fr-FR"/>
        </w:rPr>
        <w:t xml:space="preserve"> (yes/no)</w:t>
      </w:r>
    </w:p>
    <w:p w14:paraId="29BCFC69" w14:textId="559E5012" w:rsidR="00AA333C" w:rsidRDefault="00AA333C" w:rsidP="00AA333C">
      <w:pPr>
        <w:pStyle w:val="PCJtext"/>
        <w:numPr>
          <w:ilvl w:val="0"/>
          <w:numId w:val="8"/>
        </w:numPr>
        <w:rPr>
          <w:lang w:val="fr-FR"/>
        </w:rPr>
      </w:pPr>
      <w:r w:rsidRPr="00AA333C">
        <w:rPr>
          <w:lang w:val="fr-FR"/>
        </w:rPr>
        <w:t>Which assignment sequence did you complete?</w:t>
      </w:r>
      <w:r>
        <w:rPr>
          <w:lang w:val="fr-FR"/>
        </w:rPr>
        <w:t xml:space="preserve"> (binary)</w:t>
      </w:r>
    </w:p>
    <w:p w14:paraId="431F27F6" w14:textId="18C30E95" w:rsidR="00AA333C" w:rsidRDefault="00AA333C" w:rsidP="00AA333C">
      <w:pPr>
        <w:pStyle w:val="PCJtext"/>
        <w:numPr>
          <w:ilvl w:val="0"/>
          <w:numId w:val="8"/>
        </w:numPr>
        <w:rPr>
          <w:lang w:val="fr-FR"/>
        </w:rPr>
      </w:pPr>
      <w:r>
        <w:rPr>
          <w:lang w:val="fr-FR"/>
        </w:rPr>
        <w:t>How much did you enjoy the assignment sequence you chose? (1=a little, 10=a lot)</w:t>
      </w:r>
    </w:p>
    <w:p w14:paraId="3061349A" w14:textId="2E95D768" w:rsidR="00AA333C" w:rsidRDefault="00AA333C" w:rsidP="00AA333C">
      <w:pPr>
        <w:pStyle w:val="PCJtext"/>
        <w:numPr>
          <w:ilvl w:val="0"/>
          <w:numId w:val="8"/>
        </w:numPr>
        <w:rPr>
          <w:lang w:val="fr-FR"/>
        </w:rPr>
      </w:pPr>
      <w:r>
        <w:rPr>
          <w:lang w:val="fr-FR"/>
        </w:rPr>
        <w:t>How much do you feel you learned through your assignment sequence? (1=a little, 10=a lot)</w:t>
      </w:r>
    </w:p>
    <w:p w14:paraId="18B04943" w14:textId="3DA9A6F3" w:rsidR="00AA333C" w:rsidRDefault="00AA333C" w:rsidP="00AA333C">
      <w:pPr>
        <w:pStyle w:val="PCJtext"/>
        <w:numPr>
          <w:ilvl w:val="0"/>
          <w:numId w:val="8"/>
        </w:numPr>
        <w:rPr>
          <w:lang w:val="fr-FR"/>
        </w:rPr>
      </w:pPr>
      <w:r>
        <w:rPr>
          <w:lang w:val="fr-FR"/>
        </w:rPr>
        <w:t>What do you think worked particularly particularly well about your assignment sequence? (</w:t>
      </w:r>
      <w:r w:rsidR="004B3347">
        <w:rPr>
          <w:lang w:val="fr-FR"/>
        </w:rPr>
        <w:t>free response</w:t>
      </w:r>
      <w:r>
        <w:rPr>
          <w:lang w:val="fr-FR"/>
        </w:rPr>
        <w:t>)</w:t>
      </w:r>
    </w:p>
    <w:p w14:paraId="02CAF067" w14:textId="43D6BE24" w:rsidR="00AA333C" w:rsidRDefault="00AA333C" w:rsidP="00AA333C">
      <w:pPr>
        <w:pStyle w:val="PCJtext"/>
        <w:numPr>
          <w:ilvl w:val="0"/>
          <w:numId w:val="8"/>
        </w:numPr>
        <w:rPr>
          <w:lang w:val="fr-FR"/>
        </w:rPr>
      </w:pPr>
      <w:r>
        <w:rPr>
          <w:lang w:val="fr-FR"/>
        </w:rPr>
        <w:t>Which module’s assignment did you enjoy the most? (1 through 6)</w:t>
      </w:r>
    </w:p>
    <w:p w14:paraId="190D65B0" w14:textId="514BC980" w:rsidR="00AA333C" w:rsidRDefault="00AA333C" w:rsidP="00AA333C">
      <w:pPr>
        <w:pStyle w:val="PCJtext"/>
        <w:numPr>
          <w:ilvl w:val="0"/>
          <w:numId w:val="8"/>
        </w:numPr>
        <w:rPr>
          <w:lang w:val="fr-FR"/>
        </w:rPr>
      </w:pPr>
      <w:r>
        <w:rPr>
          <w:lang w:val="fr-FR"/>
        </w:rPr>
        <w:t>Why was that assignment your favorite, and how did it help you learn? (</w:t>
      </w:r>
      <w:r w:rsidR="004B3347">
        <w:rPr>
          <w:lang w:val="fr-FR"/>
        </w:rPr>
        <w:t>free response</w:t>
      </w:r>
      <w:r>
        <w:rPr>
          <w:lang w:val="fr-FR"/>
        </w:rPr>
        <w:t>)</w:t>
      </w:r>
    </w:p>
    <w:p w14:paraId="18C0D792" w14:textId="74B8E0F3" w:rsidR="00AA333C" w:rsidRDefault="00AA333C" w:rsidP="00AA333C">
      <w:pPr>
        <w:pStyle w:val="PCJtext"/>
        <w:numPr>
          <w:ilvl w:val="0"/>
          <w:numId w:val="8"/>
        </w:numPr>
        <w:rPr>
          <w:lang w:val="fr-FR"/>
        </w:rPr>
      </w:pPr>
      <w:r>
        <w:rPr>
          <w:lang w:val="fr-FR"/>
        </w:rPr>
        <w:t>What do you think did not work very well with your assignment sequence? (</w:t>
      </w:r>
      <w:r w:rsidR="004B3347">
        <w:rPr>
          <w:lang w:val="fr-FR"/>
        </w:rPr>
        <w:t>free response</w:t>
      </w:r>
      <w:r>
        <w:rPr>
          <w:lang w:val="fr-FR"/>
        </w:rPr>
        <w:t>)</w:t>
      </w:r>
    </w:p>
    <w:p w14:paraId="2E566E26" w14:textId="231D8D9B" w:rsidR="004B3347" w:rsidRDefault="004B3347" w:rsidP="00AA333C">
      <w:pPr>
        <w:pStyle w:val="PCJtext"/>
        <w:numPr>
          <w:ilvl w:val="0"/>
          <w:numId w:val="8"/>
        </w:numPr>
        <w:rPr>
          <w:lang w:val="fr-FR"/>
        </w:rPr>
      </w:pPr>
      <w:r>
        <w:rPr>
          <w:lang w:val="fr-FR"/>
        </w:rPr>
        <w:t>How would you modify your assignment sequence for future classes? (free response</w:t>
      </w:r>
    </w:p>
    <w:p w14:paraId="511E8E2C" w14:textId="77777777" w:rsidR="004B3347" w:rsidRDefault="004B3347" w:rsidP="004B3347">
      <w:pPr>
        <w:pStyle w:val="PCJtext"/>
        <w:numPr>
          <w:ilvl w:val="0"/>
          <w:numId w:val="8"/>
        </w:numPr>
        <w:rPr>
          <w:lang w:val="fr-FR"/>
        </w:rPr>
      </w:pPr>
      <w:r>
        <w:rPr>
          <w:lang w:val="fr-FR"/>
        </w:rPr>
        <w:t>What are your overall thoughts on your assignment sequence?</w:t>
      </w:r>
    </w:p>
    <w:p w14:paraId="54D38F3A" w14:textId="77777777" w:rsidR="004B3347" w:rsidRPr="004B3347" w:rsidRDefault="004B3347" w:rsidP="004B3347">
      <w:pPr>
        <w:pStyle w:val="PCJtext"/>
        <w:numPr>
          <w:ilvl w:val="0"/>
          <w:numId w:val="8"/>
        </w:numPr>
        <w:rPr>
          <w:lang w:val="fr-FR"/>
        </w:rPr>
      </w:pPr>
      <w:r w:rsidRPr="004B3347">
        <w:t xml:space="preserve">Are there any other games you think would work well to help teach about the past? </w:t>
      </w:r>
    </w:p>
    <w:p w14:paraId="307D6F8F" w14:textId="11E85608" w:rsidR="004B3347" w:rsidRPr="004B3347" w:rsidRDefault="004B3347" w:rsidP="004B3347">
      <w:pPr>
        <w:pStyle w:val="PCJtext"/>
        <w:rPr>
          <w:lang w:val="fr-FR"/>
        </w:rPr>
      </w:pPr>
      <w:r>
        <w:t xml:space="preserve">Student responses from the two assignment sequences were then compared to assess their relative enjoyment, self-perceived learning, and qualitative thoughts on the assignment sequence of choice. The goal </w:t>
      </w:r>
      <w:r w:rsidR="00461617">
        <w:t xml:space="preserve">of this comparison is to isolate the marginal benefit or cost of employing video games as a teaching tool in a more controlled and systematic manner.  </w:t>
      </w:r>
      <w:r>
        <w:t xml:space="preserve"> </w:t>
      </w:r>
    </w:p>
    <w:p w14:paraId="1E35B654" w14:textId="77777777" w:rsidR="002B68D3" w:rsidRPr="004F6D15" w:rsidRDefault="002B68D3" w:rsidP="00CE127D">
      <w:pPr>
        <w:pStyle w:val="PCJSection"/>
        <w:rPr>
          <w:lang w:val="fr-FR"/>
        </w:rPr>
      </w:pPr>
      <w:bookmarkStart w:id="5" w:name="_Toc99629446"/>
      <w:proofErr w:type="spellStart"/>
      <w:r w:rsidRPr="004F6D15">
        <w:rPr>
          <w:lang w:val="fr-FR"/>
        </w:rPr>
        <w:lastRenderedPageBreak/>
        <w:t>Results</w:t>
      </w:r>
      <w:bookmarkEnd w:id="5"/>
      <w:proofErr w:type="spellEnd"/>
    </w:p>
    <w:p w14:paraId="54F79F8A" w14:textId="58D0C3BB" w:rsidR="005233C0" w:rsidRDefault="005233C0" w:rsidP="005233C0">
      <w:pPr>
        <w:pStyle w:val="PCJSubsection"/>
        <w:rPr>
          <w:lang w:val="fr-FR"/>
        </w:rPr>
      </w:pPr>
      <w:r>
        <w:rPr>
          <w:lang w:val="fr-FR"/>
        </w:rPr>
        <w:t>Quantitative Student Feedback</w:t>
      </w:r>
    </w:p>
    <w:p w14:paraId="4C7C0AFE" w14:textId="4EE57CF5" w:rsidR="005024B5" w:rsidRDefault="005024B5" w:rsidP="005024B5">
      <w:pPr>
        <w:pStyle w:val="PCJtext"/>
        <w:rPr>
          <w:lang w:val="fr-FR"/>
        </w:rPr>
      </w:pPr>
      <w:r w:rsidRPr="005024B5">
        <w:rPr>
          <w:lang w:val="fr-FR"/>
        </w:rPr>
        <w:t>Out of the 266 students in the course, only 26 students</w:t>
      </w:r>
      <w:r w:rsidR="00512E3B">
        <w:rPr>
          <w:lang w:val="fr-FR"/>
        </w:rPr>
        <w:t xml:space="preserve"> (9.8%)</w:t>
      </w:r>
      <w:r w:rsidRPr="005024B5">
        <w:rPr>
          <w:lang w:val="fr-FR"/>
        </w:rPr>
        <w:t xml:space="preserve"> completed the survey. </w:t>
      </w:r>
      <w:r w:rsidR="00321317">
        <w:rPr>
          <w:lang w:val="fr-FR"/>
        </w:rPr>
        <w:t>T</w:t>
      </w:r>
      <w:r w:rsidRPr="005024B5">
        <w:rPr>
          <w:lang w:val="fr-FR"/>
        </w:rPr>
        <w:t xml:space="preserve">hese responses were relatively evenly split between students who completed the video game assignment sequence (n=14) and the traditional assignment sequence (n=12). The first clear takeaway from these responses </w:t>
      </w:r>
      <w:r w:rsidR="00512E3B">
        <w:rPr>
          <w:lang w:val="fr-FR"/>
        </w:rPr>
        <w:t>is</w:t>
      </w:r>
      <w:r w:rsidRPr="005024B5">
        <w:rPr>
          <w:lang w:val="fr-FR"/>
        </w:rPr>
        <w:t xml:space="preserve"> that students appear to have selected their assignment sequence based on their previous gaming experience. Nearly all students who chose the video game sequence (93%) played video games recreationally outside of class, while only about half (58%) of students who chose the traditional sequence played games for fun. Likewise, more than 1/3 of students (36%) who chose the video game sequence had played </w:t>
      </w:r>
      <w:r w:rsidRPr="00512E3B">
        <w:rPr>
          <w:i/>
          <w:iCs/>
          <w:lang w:val="fr-FR"/>
        </w:rPr>
        <w:t>Assassin’s Creed: Odyssey</w:t>
      </w:r>
      <w:r w:rsidRPr="005024B5">
        <w:rPr>
          <w:lang w:val="fr-FR"/>
        </w:rPr>
        <w:t xml:space="preserve">, while none of the students who chose the traditional sequence had played the game. In short, previous gaming experience appears to have a </w:t>
      </w:r>
      <w:r w:rsidR="00512E3B">
        <w:rPr>
          <w:lang w:val="fr-FR"/>
        </w:rPr>
        <w:t>major</w:t>
      </w:r>
      <w:r w:rsidRPr="005024B5">
        <w:rPr>
          <w:lang w:val="fr-FR"/>
        </w:rPr>
        <w:t xml:space="preserve"> impact on the appeal of the</w:t>
      </w:r>
      <w:r w:rsidR="00512E3B">
        <w:rPr>
          <w:lang w:val="fr-FR"/>
        </w:rPr>
        <w:t xml:space="preserve"> video game learning</w:t>
      </w:r>
      <w:r w:rsidRPr="005024B5">
        <w:rPr>
          <w:lang w:val="fr-FR"/>
        </w:rPr>
        <w:t xml:space="preserve"> modality.</w:t>
      </w:r>
    </w:p>
    <w:p w14:paraId="2441147E" w14:textId="77777777" w:rsidR="00170964" w:rsidRDefault="00170964" w:rsidP="00170964">
      <w:pPr>
        <w:pStyle w:val="PCJtext"/>
        <w:ind w:firstLine="0"/>
        <w:rPr>
          <w:lang w:val="fr-FR"/>
        </w:rPr>
      </w:pPr>
    </w:p>
    <w:p w14:paraId="50BEA3B2" w14:textId="1145972F" w:rsidR="00170964" w:rsidRDefault="00170964" w:rsidP="00170964">
      <w:pPr>
        <w:pStyle w:val="PCJtext"/>
        <w:ind w:firstLine="0"/>
        <w:rPr>
          <w:lang w:val="fr-FR"/>
        </w:rPr>
      </w:pPr>
      <w:r>
        <w:rPr>
          <w:lang w:val="fr-FR"/>
        </w:rPr>
        <w:drawing>
          <wp:inline distT="0" distB="0" distL="0" distR="0" wp14:anchorId="3E23C16D" wp14:editId="6EEEA669">
            <wp:extent cx="5715000" cy="3432420"/>
            <wp:effectExtent l="0" t="0" r="0" b="0"/>
            <wp:docPr id="21264313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0" cy="3432420"/>
                    </a:xfrm>
                    <a:prstGeom prst="rect">
                      <a:avLst/>
                    </a:prstGeom>
                    <a:noFill/>
                  </pic:spPr>
                </pic:pic>
              </a:graphicData>
            </a:graphic>
          </wp:inline>
        </w:drawing>
      </w:r>
    </w:p>
    <w:p w14:paraId="5608781A" w14:textId="767A9E85" w:rsidR="00016CB1" w:rsidRPr="007D1A12" w:rsidRDefault="00016CB1" w:rsidP="00016CB1">
      <w:pPr>
        <w:pStyle w:val="PCJcaptionfigure"/>
        <w:ind w:left="0"/>
        <w:jc w:val="center"/>
        <w:rPr>
          <w:sz w:val="21"/>
        </w:rPr>
      </w:pPr>
      <w:r w:rsidRPr="00A82864">
        <w:rPr>
          <w:b/>
        </w:rPr>
        <w:t xml:space="preserve">Figure </w:t>
      </w:r>
      <w:r w:rsidR="00790E83">
        <w:rPr>
          <w:b/>
        </w:rPr>
        <w:t>1</w:t>
      </w:r>
      <w:r w:rsidRPr="00A82864">
        <w:t xml:space="preserve"> </w:t>
      </w:r>
      <w:r w:rsidR="00790E83">
        <w:t>– Gaming Habits by Assignment Sequence</w:t>
      </w:r>
    </w:p>
    <w:p w14:paraId="4DBEA211" w14:textId="56BEFB6F" w:rsidR="005024B5" w:rsidRDefault="005024B5" w:rsidP="005024B5">
      <w:pPr>
        <w:pStyle w:val="PCJtext"/>
        <w:rPr>
          <w:lang w:val="fr-FR"/>
        </w:rPr>
      </w:pPr>
      <w:r w:rsidRPr="005024B5">
        <w:rPr>
          <w:lang w:val="fr-FR"/>
        </w:rPr>
        <w:t xml:space="preserve">Quantitative student responses suggest strong levels of student satisfaction and self-perceived learning from those who opted for the video game assignment sequence. The question regarding the degree to which students enjoyed their respective assignment sequences led to an average score of 9.1 from the video game students and an average of 6.8 from the traditional assignment sequence students. Average scores regarding students’ self-perceptions of learning led to similar results, with video game students producing a score of rated the amount they learned from the assignments as a 9.1 out of 10, while the traditional assignment students felt like they learned a 7.7 out of 10. </w:t>
      </w:r>
      <w:r w:rsidR="007A0449">
        <w:rPr>
          <w:lang w:val="fr-FR"/>
        </w:rPr>
        <w:t>It is</w:t>
      </w:r>
      <w:r w:rsidRPr="005024B5">
        <w:rPr>
          <w:lang w:val="fr-FR"/>
        </w:rPr>
        <w:t xml:space="preserve"> important to reiterate that these are self-perceptions of student learning rather than differences in the actual achievement of learning outcomes, but nonetheless the differences seem significant in scale.</w:t>
      </w:r>
    </w:p>
    <w:p w14:paraId="23522923" w14:textId="77777777" w:rsidR="007A0449" w:rsidRDefault="007A0449" w:rsidP="005024B5">
      <w:pPr>
        <w:pStyle w:val="PCJtext"/>
        <w:rPr>
          <w:lang w:val="fr-FR"/>
        </w:rPr>
      </w:pPr>
    </w:p>
    <w:p w14:paraId="74FB12D6" w14:textId="6568CABB" w:rsidR="007A0449" w:rsidRDefault="007A0449" w:rsidP="007A0449">
      <w:pPr>
        <w:pStyle w:val="PCJtext"/>
        <w:ind w:firstLine="0"/>
        <w:rPr>
          <w:lang w:val="fr-FR"/>
        </w:rPr>
      </w:pPr>
      <w:r>
        <w:rPr>
          <w:lang w:val="fr-FR"/>
        </w:rPr>
        <w:lastRenderedPageBreak/>
        <w:drawing>
          <wp:inline distT="0" distB="0" distL="0" distR="0" wp14:anchorId="621DBB92" wp14:editId="22B267AA">
            <wp:extent cx="5715000" cy="3428349"/>
            <wp:effectExtent l="0" t="0" r="0" b="1270"/>
            <wp:docPr id="901492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00" cy="3428349"/>
                    </a:xfrm>
                    <a:prstGeom prst="rect">
                      <a:avLst/>
                    </a:prstGeom>
                    <a:noFill/>
                  </pic:spPr>
                </pic:pic>
              </a:graphicData>
            </a:graphic>
          </wp:inline>
        </w:drawing>
      </w:r>
    </w:p>
    <w:p w14:paraId="6A3902C7" w14:textId="67F39969" w:rsidR="007A0449" w:rsidRPr="00790E83" w:rsidRDefault="00790E83" w:rsidP="00790E83">
      <w:pPr>
        <w:pStyle w:val="PCJcaptionfigure"/>
        <w:ind w:left="0"/>
        <w:jc w:val="center"/>
        <w:rPr>
          <w:sz w:val="21"/>
        </w:rPr>
      </w:pPr>
      <w:r w:rsidRPr="00A82864">
        <w:rPr>
          <w:b/>
        </w:rPr>
        <w:t xml:space="preserve">Figure </w:t>
      </w:r>
      <w:r>
        <w:rPr>
          <w:b/>
        </w:rPr>
        <w:t>2</w:t>
      </w:r>
      <w:r w:rsidRPr="00A82864">
        <w:t xml:space="preserve"> </w:t>
      </w:r>
      <w:r>
        <w:t>– Student Ratings by Assignment Sequence</w:t>
      </w:r>
    </w:p>
    <w:p w14:paraId="074DDDEB" w14:textId="00AE317D" w:rsidR="005233C0" w:rsidRDefault="005233C0" w:rsidP="005233C0">
      <w:pPr>
        <w:pStyle w:val="PCJSubsection"/>
        <w:rPr>
          <w:lang w:val="fr-FR"/>
        </w:rPr>
      </w:pPr>
      <w:r>
        <w:rPr>
          <w:lang w:val="fr-FR"/>
        </w:rPr>
        <w:t>Qualitative Student Feedback</w:t>
      </w:r>
    </w:p>
    <w:p w14:paraId="4CCB91A6" w14:textId="511E025F" w:rsidR="00554939" w:rsidRDefault="005024B5" w:rsidP="005024B5">
      <w:pPr>
        <w:pStyle w:val="PCJtext"/>
        <w:rPr>
          <w:lang w:val="fr-FR"/>
        </w:rPr>
      </w:pPr>
      <w:r w:rsidRPr="005024B5">
        <w:rPr>
          <w:lang w:val="fr-FR"/>
        </w:rPr>
        <w:t>The free responses questions help illuminate the specific aspects of the video game assignments that</w:t>
      </w:r>
      <w:r w:rsidR="00554939">
        <w:rPr>
          <w:lang w:val="fr-FR"/>
        </w:rPr>
        <w:t xml:space="preserve"> students found both beneficial and frustrating. The most common</w:t>
      </w:r>
      <w:r w:rsidRPr="005024B5">
        <w:rPr>
          <w:lang w:val="fr-FR"/>
        </w:rPr>
        <w:t xml:space="preserve"> aspect of the video game assignments </w:t>
      </w:r>
      <w:r w:rsidR="00554939">
        <w:rPr>
          <w:lang w:val="fr-FR"/>
        </w:rPr>
        <w:t>that was noted by students as a positive contributor to their learning experience was the</w:t>
      </w:r>
      <w:r w:rsidRPr="005024B5">
        <w:rPr>
          <w:lang w:val="fr-FR"/>
        </w:rPr>
        <w:t xml:space="preserve"> visualization of the ancient Greek natural and built environment (5 of 9 students</w:t>
      </w:r>
      <w:r w:rsidR="00554939">
        <w:rPr>
          <w:lang w:val="fr-FR"/>
        </w:rPr>
        <w:t>). One student noted,</w:t>
      </w:r>
      <w:r w:rsidR="00554939" w:rsidRPr="00554939">
        <w:rPr>
          <w:rFonts w:ascii="Times New Roman" w:eastAsiaTheme="minorHAnsi" w:hAnsi="Times New Roman" w:cstheme="minorBidi"/>
          <w:noProof w:val="0"/>
          <w:color w:val="000000" w:themeColor="text1"/>
          <w:sz w:val="22"/>
          <w:lang w:eastAsia="en-US"/>
        </w:rPr>
        <w:t xml:space="preserve"> </w:t>
      </w:r>
      <w:r w:rsidR="00554939" w:rsidRPr="00554939">
        <w:rPr>
          <w:lang w:val="fr-FR"/>
        </w:rPr>
        <w:t>“I think that the ability for us as students to explore the ancient world worked really well for the assignments. Actually, seeing the different ruins and temples in the game really helped with learning about the ancient world.”</w:t>
      </w:r>
      <w:r w:rsidR="00554939">
        <w:rPr>
          <w:lang w:val="fr-FR"/>
        </w:rPr>
        <w:t xml:space="preserve"> Another commented, </w:t>
      </w:r>
      <w:r w:rsidR="00554939" w:rsidRPr="00554939">
        <w:rPr>
          <w:lang w:val="fr-FR"/>
        </w:rPr>
        <w:t>“The way the game was set up allowed me to be fully engaged and for once. Learning history was not boring [and] seeing actual [the] representation of Greece allowed me to retain the information more. The Discovery Tour was very useful which allowed me to just learn and explore.”</w:t>
      </w:r>
      <w:r w:rsidR="00554939">
        <w:rPr>
          <w:lang w:val="fr-FR"/>
        </w:rPr>
        <w:t xml:space="preserve"> </w:t>
      </w:r>
    </w:p>
    <w:p w14:paraId="22FBD210" w14:textId="6DD8A8E8" w:rsidR="00554939" w:rsidRDefault="00554939" w:rsidP="005024B5">
      <w:pPr>
        <w:pStyle w:val="PCJtext"/>
        <w:rPr>
          <w:lang w:val="fr-FR"/>
        </w:rPr>
      </w:pPr>
      <w:r>
        <w:rPr>
          <w:lang w:val="fr-FR"/>
        </w:rPr>
        <w:t xml:space="preserve">The second most common positive quality </w:t>
      </w:r>
      <w:r w:rsidR="005233C0">
        <w:rPr>
          <w:lang w:val="fr-FR"/>
        </w:rPr>
        <w:t xml:space="preserve">for the video game sequence </w:t>
      </w:r>
      <w:r>
        <w:rPr>
          <w:lang w:val="fr-FR"/>
        </w:rPr>
        <w:t>centered on the interactivity</w:t>
      </w:r>
      <w:r w:rsidR="005233C0">
        <w:rPr>
          <w:lang w:val="fr-FR"/>
        </w:rPr>
        <w:t xml:space="preserve"> of the assignments (3 of 9 students). One student said, </w:t>
      </w:r>
      <w:r w:rsidR="005233C0" w:rsidRPr="005233C0">
        <w:rPr>
          <w:lang w:val="fr-FR"/>
        </w:rPr>
        <w:t>“I felt as if I retained the information learned throughout the assignments more than what I traditionally would with just a textbook reading. The video game assignment allowed me to get more interactive and I’ve always found that to help me more than anything when learning something new. It was a breath of fresh air for the semester!”</w:t>
      </w:r>
      <w:r w:rsidR="005233C0">
        <w:rPr>
          <w:lang w:val="fr-FR"/>
        </w:rPr>
        <w:t xml:space="preserve"> While another stated, </w:t>
      </w:r>
      <w:r w:rsidR="005233C0" w:rsidRPr="005233C0">
        <w:rPr>
          <w:lang w:val="fr-FR"/>
        </w:rPr>
        <w:t>“I enjoyed the fact that it was different and more interactive than any other class I’ve done.”</w:t>
      </w:r>
    </w:p>
    <w:p w14:paraId="5EB981D2" w14:textId="047E4412" w:rsidR="008263E4" w:rsidRDefault="005024B5" w:rsidP="005024B5">
      <w:pPr>
        <w:pStyle w:val="PCJtext"/>
        <w:rPr>
          <w:lang w:val="fr-FR"/>
        </w:rPr>
      </w:pPr>
      <w:r w:rsidRPr="005024B5">
        <w:rPr>
          <w:lang w:val="fr-FR"/>
        </w:rPr>
        <w:t xml:space="preserve">In terms of drawbacks, students highlighted difficulties in finding correct locations within the </w:t>
      </w:r>
      <w:r w:rsidR="005233C0">
        <w:rPr>
          <w:lang w:val="fr-FR"/>
        </w:rPr>
        <w:t>virtual gaming environment (2 of 9 students). One student, for example, commented, </w:t>
      </w:r>
      <w:r w:rsidR="005233C0" w:rsidRPr="005233C0">
        <w:rPr>
          <w:lang w:val="fr-FR"/>
        </w:rPr>
        <w:t>“If I had to choose something I'd say it could improve by giving us a general idea of where exactly to go within the explorative setting just in case some people find it hard to know where to look.”</w:t>
      </w:r>
      <w:r w:rsidR="005233C0">
        <w:rPr>
          <w:lang w:val="fr-FR"/>
        </w:rPr>
        <w:t xml:space="preserve"> Another noted, </w:t>
      </w:r>
      <w:r w:rsidR="005233C0" w:rsidRPr="005233C0">
        <w:rPr>
          <w:lang w:val="fr-FR"/>
        </w:rPr>
        <w:t>“The one thing I thought worked the least would have been at one point I couldn’t find a certain location but with the help of my husband I was able to find it within the game. Truthfully that wasn’t even that much of a hassle though, it’s just all I could think of to be a bump in the road.”</w:t>
      </w:r>
    </w:p>
    <w:p w14:paraId="0391A5DD" w14:textId="4D5AD80B" w:rsidR="005233C0" w:rsidRDefault="005233C0" w:rsidP="005024B5">
      <w:pPr>
        <w:pStyle w:val="PCJtext"/>
        <w:rPr>
          <w:lang w:val="fr-FR"/>
        </w:rPr>
      </w:pPr>
      <w:r>
        <w:rPr>
          <w:lang w:val="fr-FR"/>
        </w:rPr>
        <w:t xml:space="preserve">Students also found the alignment between some of the video game assignments and the lecture material to be misaligned at times (2 of 9 students). One mentioned, </w:t>
      </w:r>
      <w:r w:rsidRPr="005233C0">
        <w:rPr>
          <w:lang w:val="fr-FR"/>
        </w:rPr>
        <w:t>“I thought the early AC:O assignments lined up very well with the course content every week. I thought it was an extension of our lectures and helped further our learning. I personally enjoyed the final three assignments the most, but it felt more disjointed from the lecture content that was more focused on the Romans.”</w:t>
      </w:r>
      <w:r>
        <w:rPr>
          <w:lang w:val="fr-FR"/>
        </w:rPr>
        <w:t xml:space="preserve"> A second student observed, </w:t>
      </w:r>
      <w:r w:rsidRPr="005233C0">
        <w:rPr>
          <w:lang w:val="fr-FR"/>
        </w:rPr>
        <w:t xml:space="preserve">“This course is split in two halves. Essentially an emphasis on Greece and another emphasis on Rome. Is it </w:t>
      </w:r>
      <w:r w:rsidRPr="005233C0">
        <w:rPr>
          <w:lang w:val="fr-FR"/>
        </w:rPr>
        <w:lastRenderedPageBreak/>
        <w:t>possible to incorporate gameplay that could accommodate Rome? Maybe the total war series have a historical battle of Cannae.”</w:t>
      </w:r>
    </w:p>
    <w:p w14:paraId="19EFACE9" w14:textId="78EA87EB" w:rsidR="002B68D3" w:rsidRDefault="002B68D3" w:rsidP="00461617">
      <w:pPr>
        <w:pStyle w:val="PCJSection"/>
      </w:pPr>
      <w:bookmarkStart w:id="6" w:name="_Toc99629448"/>
      <w:r>
        <w:t>Discussion</w:t>
      </w:r>
      <w:bookmarkEnd w:id="6"/>
    </w:p>
    <w:p w14:paraId="44E75D75" w14:textId="77777777" w:rsidR="005233C0" w:rsidRDefault="005233C0" w:rsidP="005024B5">
      <w:pPr>
        <w:pStyle w:val="PCJtext"/>
      </w:pPr>
      <w:r>
        <w:t>The results from this student suggest video games hold potential to increase student satisfaction and learning within the realm of history and archaeology courses. Student scores regarding their enjoyment of the assignments were substantially higher for the video game assignment sequence than the reading response sequence, and students also self-reported higher levels of learning from the video game assignments. These p</w:t>
      </w:r>
      <w:r w:rsidR="005024B5">
        <w:t xml:space="preserve">reliminary results align well with previous studies on the use of video games as teaching tools, especially the conclusion that students appear to find video games as useful for building interest in and satisfaction with the course (Mol et al. eds. 2017). Clark et al’s 2016 meta-analysis, for example, noted similar trends with student feedback with regard to these characteristics. </w:t>
      </w:r>
    </w:p>
    <w:p w14:paraId="7C60036F" w14:textId="0D788FD7" w:rsidR="005024B5" w:rsidRDefault="005B538B" w:rsidP="005024B5">
      <w:pPr>
        <w:pStyle w:val="PCJtext"/>
      </w:pPr>
      <w:r>
        <w:t xml:space="preserve">Despite this potential, the limited scale of this study raises several new questions and directions for future investigation. Simply increasing the scale and scope of the study would, of course, be beneficial. It would be useful, for example, to see whether these trends hold if the entire class of 260+ students were to respond to the survey. Since this was tested in a lower level, asynchronous online course, it would be helpful to know whether these trends hold at different levels and in different modalities. Do we see similar results in upper level courses or in in-person or hybrid courses? </w:t>
      </w:r>
      <w:r w:rsidR="005024B5">
        <w:t xml:space="preserve">One of the </w:t>
      </w:r>
      <w:r>
        <w:t>most logical next steps</w:t>
      </w:r>
      <w:r w:rsidR="005024B5">
        <w:t xml:space="preserve"> would be to test the impact of video game integration on the actual achievement of student learning outcomes, rather than student perceptions of learning. </w:t>
      </w:r>
      <w:r w:rsidR="009255EB" w:rsidRPr="009255EB">
        <w:t>Adžić</w:t>
      </w:r>
      <w:r w:rsidR="009255EB">
        <w:t xml:space="preserve"> </w:t>
      </w:r>
      <w:r w:rsidR="005024B5">
        <w:t>et al.</w:t>
      </w:r>
      <w:r w:rsidR="009255EB">
        <w:t>’s</w:t>
      </w:r>
      <w:r w:rsidR="005024B5">
        <w:t xml:space="preserve"> 2021 study suggests that this may, indeed, produce similar results, but running a similar study using these assignments would be a useful next step. Finally, given the substantial difference in gaming experience within the two groups of this study, it would be useful assess the way in which students who do not regularly play video games respond to video game-based assignments.  </w:t>
      </w:r>
    </w:p>
    <w:p w14:paraId="278522FD" w14:textId="30808782" w:rsidR="00570E06" w:rsidRPr="00570E06" w:rsidRDefault="005024B5" w:rsidP="005024B5">
      <w:pPr>
        <w:pStyle w:val="PCJtext"/>
        <w:rPr>
          <w:lang w:val="fr-FR"/>
        </w:rPr>
      </w:pPr>
      <w:r>
        <w:t>There is certainly room for far more robust research on the topic. The preliminary results of this study, however, suggest that integrating gaming into the history classroom has the potential to dramatically impact students’ perceptions of both enjoyment and learning of the course material.</w:t>
      </w:r>
    </w:p>
    <w:p w14:paraId="399BF956" w14:textId="77777777" w:rsidR="00A81F52" w:rsidRDefault="00A81F52" w:rsidP="00CE127D">
      <w:pPr>
        <w:pStyle w:val="PCJSection"/>
      </w:pPr>
      <w:bookmarkStart w:id="7" w:name="_Toc99629449"/>
      <w:r>
        <w:t>Acknowledgements</w:t>
      </w:r>
      <w:bookmarkEnd w:id="7"/>
    </w:p>
    <w:p w14:paraId="0DCCCA7C" w14:textId="06BB451D" w:rsidR="00512E3B" w:rsidRPr="00972FCB" w:rsidRDefault="00512E3B" w:rsidP="00512E3B">
      <w:pPr>
        <w:pStyle w:val="PCJtext"/>
        <w:rPr>
          <w:lang w:eastAsia="en-US"/>
        </w:rPr>
      </w:pPr>
      <w:bookmarkStart w:id="8" w:name="_Toc99629452"/>
      <w:r>
        <w:t>I would like to thank the Department of Religious Studies and Classics and the College of Humanities at the University of Arizona for their generous funding that allowed me to participate in the conference that led to this publication. I would also like to thank the reviewers for their helpful and insightful comments. The paper is undoubtedly better because of your efforts and feedback.</w:t>
      </w:r>
      <w:r w:rsidR="00B31406">
        <w:t xml:space="preserve"> Most of all, I would like to thank the students who participated in this study for their hard work and thoughtful feedback. My teaching will undoubtedly improve as a result of your efforts.</w:t>
      </w:r>
    </w:p>
    <w:p w14:paraId="67C8F5AC" w14:textId="77777777" w:rsidR="00A81F52" w:rsidRPr="00972FCB" w:rsidRDefault="00A81F52" w:rsidP="00CE127D">
      <w:pPr>
        <w:pStyle w:val="PCJSection"/>
      </w:pPr>
      <w:r w:rsidRPr="00972FCB">
        <w:t>Conflict of interest disclosure</w:t>
      </w:r>
      <w:bookmarkEnd w:id="8"/>
    </w:p>
    <w:p w14:paraId="2385BAF3" w14:textId="55546BA5" w:rsidR="00A81F52" w:rsidRPr="00972FCB" w:rsidRDefault="004C5E20" w:rsidP="00790E83">
      <w:pPr>
        <w:ind w:firstLine="270"/>
        <w:jc w:val="left"/>
        <w:rPr>
          <w:rFonts w:eastAsia="Times New Roman" w:cs="Times New Roman"/>
          <w:color w:val="auto"/>
          <w:sz w:val="24"/>
          <w:lang w:eastAsia="fr-FR"/>
        </w:rPr>
      </w:pPr>
      <w:r w:rsidRPr="00972FCB">
        <w:rPr>
          <w:rFonts w:ascii="Calibri" w:eastAsia="Times New Roman" w:hAnsi="Calibri" w:cs="Calibri"/>
          <w:color w:val="000000"/>
          <w:sz w:val="21"/>
          <w:szCs w:val="21"/>
          <w:lang w:eastAsia="fr-FR"/>
        </w:rPr>
        <w:t>The author</w:t>
      </w:r>
      <w:r w:rsidR="00512E3B">
        <w:rPr>
          <w:rFonts w:ascii="Calibri" w:eastAsia="Times New Roman" w:hAnsi="Calibri" w:cs="Calibri"/>
          <w:color w:val="000000"/>
          <w:sz w:val="21"/>
          <w:szCs w:val="21"/>
          <w:lang w:eastAsia="fr-FR"/>
        </w:rPr>
        <w:t xml:space="preserve"> </w:t>
      </w:r>
      <w:r w:rsidR="00512E3B" w:rsidRPr="00972FCB">
        <w:rPr>
          <w:rFonts w:ascii="Calibri" w:eastAsia="Times New Roman" w:hAnsi="Calibri" w:cs="Calibri"/>
          <w:color w:val="000000"/>
          <w:sz w:val="21"/>
          <w:szCs w:val="21"/>
          <w:lang w:eastAsia="fr-FR"/>
        </w:rPr>
        <w:t>declar</w:t>
      </w:r>
      <w:r w:rsidR="00512E3B">
        <w:rPr>
          <w:rFonts w:ascii="Calibri" w:eastAsia="Times New Roman" w:hAnsi="Calibri" w:cs="Calibri"/>
          <w:color w:val="000000"/>
          <w:sz w:val="21"/>
          <w:szCs w:val="21"/>
          <w:lang w:eastAsia="fr-FR"/>
        </w:rPr>
        <w:t>e</w:t>
      </w:r>
      <w:r w:rsidR="00512E3B" w:rsidRPr="00972FCB">
        <w:rPr>
          <w:rFonts w:ascii="Calibri" w:eastAsia="Times New Roman" w:hAnsi="Calibri" w:cs="Calibri"/>
          <w:color w:val="000000"/>
          <w:sz w:val="21"/>
          <w:szCs w:val="21"/>
          <w:lang w:eastAsia="fr-FR"/>
        </w:rPr>
        <w:t>s</w:t>
      </w:r>
      <w:r w:rsidRPr="00972FCB">
        <w:rPr>
          <w:rFonts w:ascii="Calibri" w:eastAsia="Times New Roman" w:hAnsi="Calibri" w:cs="Calibri"/>
          <w:color w:val="000000"/>
          <w:sz w:val="21"/>
          <w:szCs w:val="21"/>
          <w:lang w:eastAsia="fr-FR"/>
        </w:rPr>
        <w:t xml:space="preserve"> that </w:t>
      </w:r>
      <w:r w:rsidR="00512E3B">
        <w:rPr>
          <w:rFonts w:ascii="Calibri" w:eastAsia="Times New Roman" w:hAnsi="Calibri" w:cs="Calibri"/>
          <w:color w:val="000000"/>
          <w:sz w:val="21"/>
          <w:szCs w:val="21"/>
          <w:lang w:eastAsia="fr-FR"/>
        </w:rPr>
        <w:t>he</w:t>
      </w:r>
      <w:r w:rsidRPr="00972FCB">
        <w:rPr>
          <w:rFonts w:ascii="Calibri" w:eastAsia="Times New Roman" w:hAnsi="Calibri" w:cs="Calibri"/>
          <w:color w:val="000000"/>
          <w:sz w:val="21"/>
          <w:szCs w:val="21"/>
          <w:lang w:eastAsia="fr-FR"/>
        </w:rPr>
        <w:t xml:space="preserve"> </w:t>
      </w:r>
      <w:r w:rsidR="00512E3B">
        <w:rPr>
          <w:rFonts w:ascii="Calibri" w:eastAsia="Times New Roman" w:hAnsi="Calibri" w:cs="Calibri"/>
          <w:color w:val="000000"/>
          <w:sz w:val="21"/>
          <w:szCs w:val="21"/>
          <w:lang w:eastAsia="fr-FR"/>
        </w:rPr>
        <w:t>complies</w:t>
      </w:r>
      <w:r w:rsidRPr="00972FCB">
        <w:rPr>
          <w:rFonts w:ascii="Calibri" w:eastAsia="Times New Roman" w:hAnsi="Calibri" w:cs="Calibri"/>
          <w:color w:val="000000"/>
          <w:sz w:val="21"/>
          <w:szCs w:val="21"/>
          <w:lang w:eastAsia="fr-FR"/>
        </w:rPr>
        <w:t xml:space="preserve"> with the PCI rule of having no financial conflicts of interest in relation to the content of the article.</w:t>
      </w:r>
    </w:p>
    <w:p w14:paraId="5C61D298" w14:textId="77777777" w:rsidR="00A81F52" w:rsidRPr="00972FCB" w:rsidRDefault="00A81F52" w:rsidP="00CE127D">
      <w:pPr>
        <w:pStyle w:val="PCJSection"/>
      </w:pPr>
      <w:bookmarkStart w:id="9" w:name="_Toc99629453"/>
      <w:r w:rsidRPr="00972FCB">
        <w:t>Funding</w:t>
      </w:r>
      <w:bookmarkEnd w:id="9"/>
    </w:p>
    <w:p w14:paraId="2FD8F4A6" w14:textId="5B0C8999" w:rsidR="00A81F52" w:rsidRPr="00972FCB" w:rsidRDefault="00512E3B" w:rsidP="00CE127D">
      <w:pPr>
        <w:pStyle w:val="PCJtext"/>
        <w:rPr>
          <w:lang w:eastAsia="en-US"/>
        </w:rPr>
      </w:pPr>
      <w:r>
        <w:t>Department of Religious Studies and Classics, University of Arizona</w:t>
      </w:r>
      <w:r w:rsidR="009255EB">
        <w:t>.</w:t>
      </w:r>
    </w:p>
    <w:p w14:paraId="312E5F92" w14:textId="77777777" w:rsidR="001F3775" w:rsidRPr="00972FCB" w:rsidRDefault="001F3775" w:rsidP="00CE127D">
      <w:pPr>
        <w:pStyle w:val="PCJSection"/>
      </w:pPr>
      <w:bookmarkStart w:id="10" w:name="_Toc99629454"/>
      <w:r w:rsidRPr="00972FCB">
        <w:t>References</w:t>
      </w:r>
      <w:bookmarkEnd w:id="10"/>
    </w:p>
    <w:p w14:paraId="2A28816C" w14:textId="703CA758" w:rsidR="009255EB" w:rsidRDefault="009255EB" w:rsidP="00866C28">
      <w:pPr>
        <w:pStyle w:val="PCJReference"/>
      </w:pPr>
      <w:r w:rsidRPr="009255EB">
        <w:t>Adžić, Slobodan, Jarrah Al-Mansour, Hasnain Naqvi, and Slobodan Stambolić. "The Impact of Video Games on Students’ Educational Outcomes." </w:t>
      </w:r>
      <w:r w:rsidRPr="009255EB">
        <w:rPr>
          <w:i/>
          <w:iCs/>
        </w:rPr>
        <w:t>Entertainment Computing</w:t>
      </w:r>
      <w:r w:rsidRPr="009255EB">
        <w:t> 38 (2021): 100412.</w:t>
      </w:r>
    </w:p>
    <w:p w14:paraId="06661BF2" w14:textId="77777777" w:rsidR="009255EB" w:rsidRDefault="009255EB" w:rsidP="00866C28">
      <w:pPr>
        <w:pStyle w:val="PCJReference"/>
      </w:pPr>
    </w:p>
    <w:p w14:paraId="1B7076A2" w14:textId="79ECA440" w:rsidR="009255EB" w:rsidRDefault="009255EB" w:rsidP="00866C28">
      <w:pPr>
        <w:pStyle w:val="PCJReference"/>
      </w:pPr>
      <w:r w:rsidRPr="009255EB">
        <w:lastRenderedPageBreak/>
        <w:t>Barr, Matthew. "Student Attitudes to Games-based Skills Development: Learning from Video Games in Higher Education." </w:t>
      </w:r>
      <w:r w:rsidRPr="009255EB">
        <w:rPr>
          <w:i/>
          <w:iCs/>
        </w:rPr>
        <w:t>Computers in Human Behavior</w:t>
      </w:r>
      <w:r w:rsidRPr="009255EB">
        <w:t> 80 (2018): 283-94.</w:t>
      </w:r>
    </w:p>
    <w:p w14:paraId="55FCADE0" w14:textId="77777777" w:rsidR="009255EB" w:rsidRDefault="009255EB" w:rsidP="00866C28">
      <w:pPr>
        <w:pStyle w:val="PCJReference"/>
      </w:pPr>
    </w:p>
    <w:p w14:paraId="02E3CD5D" w14:textId="1F27FE6C" w:rsidR="009255EB" w:rsidRDefault="009255EB" w:rsidP="00866C28">
      <w:pPr>
        <w:pStyle w:val="PCJReference"/>
      </w:pPr>
      <w:r w:rsidRPr="009255EB">
        <w:t>Boom, K.H.J, C.E Ariese, B. Van Den Hout, A.A.A Mol, A. Politopoulos, and S. Hageneuer. "Teaching through Play: Using Video Games as a Platform to Teach about the Past." </w:t>
      </w:r>
      <w:r w:rsidRPr="009255EB">
        <w:rPr>
          <w:i/>
          <w:iCs/>
        </w:rPr>
        <w:t>Communicating the Past in the Digital Age</w:t>
      </w:r>
      <w:r w:rsidRPr="009255EB">
        <w:t> (2020): 27-44. </w:t>
      </w:r>
    </w:p>
    <w:p w14:paraId="3B25FBD2" w14:textId="77777777" w:rsidR="009255EB" w:rsidRDefault="009255EB" w:rsidP="00866C28">
      <w:pPr>
        <w:pStyle w:val="PCJReference"/>
      </w:pPr>
    </w:p>
    <w:p w14:paraId="08AA2308" w14:textId="7637CE92" w:rsidR="00866C28" w:rsidRDefault="00866C28" w:rsidP="00866C28">
      <w:pPr>
        <w:pStyle w:val="PCJReference"/>
      </w:pPr>
      <w:r w:rsidRPr="00866C28">
        <w:t xml:space="preserve">Brookins, Julia. "Enrollment Declines Continue: AHA Survey Again Shows Fewer Undergraduates in History Courses." </w:t>
      </w:r>
      <w:r w:rsidRPr="00866C28">
        <w:rPr>
          <w:i/>
          <w:iCs/>
        </w:rPr>
        <w:t>Perspectives on History</w:t>
      </w:r>
      <w:r w:rsidRPr="00866C28">
        <w:t>, 2018, https://www.historians.org/research-and-publications/perspectives-on-history/february-2018/enrollment-declines-continue-aha-survey-again-shows-fewer-undergraduates-in-history-courses. Accessed 5 Aug. 2023.</w:t>
      </w:r>
    </w:p>
    <w:p w14:paraId="661AE8CD" w14:textId="77777777" w:rsidR="009255EB" w:rsidRDefault="009255EB" w:rsidP="00866C28">
      <w:pPr>
        <w:pStyle w:val="PCJReference"/>
      </w:pPr>
    </w:p>
    <w:p w14:paraId="05EA1154" w14:textId="3EB18FB3" w:rsidR="009255EB" w:rsidRDefault="009255EB" w:rsidP="00866C28">
      <w:pPr>
        <w:pStyle w:val="PCJReference"/>
      </w:pPr>
      <w:r w:rsidRPr="009255EB">
        <w:t>Brown, Harry J. </w:t>
      </w:r>
      <w:r w:rsidRPr="009255EB">
        <w:rPr>
          <w:i/>
          <w:iCs/>
        </w:rPr>
        <w:t>Videogames and Education</w:t>
      </w:r>
      <w:r w:rsidRPr="009255EB">
        <w:t xml:space="preserve">. United Kingdom: Routledge, 2008. History, Humanities, and New Technology. </w:t>
      </w:r>
    </w:p>
    <w:p w14:paraId="74E98FD8" w14:textId="77777777" w:rsidR="009255EB" w:rsidRDefault="009255EB" w:rsidP="00866C28">
      <w:pPr>
        <w:pStyle w:val="PCJReference"/>
      </w:pPr>
    </w:p>
    <w:p w14:paraId="298FEF07" w14:textId="47912526" w:rsidR="009255EB" w:rsidRDefault="009255EB" w:rsidP="00866C28">
      <w:pPr>
        <w:pStyle w:val="PCJReference"/>
      </w:pPr>
      <w:r w:rsidRPr="009255EB">
        <w:t>Clark, Douglas B., Emily E. Tanner-Smith, and Stephen S. Killingsworth. "Digital Games, Design, and Learning: A Systematic Review and Meta-Analysis." </w:t>
      </w:r>
      <w:r w:rsidRPr="009255EB">
        <w:rPr>
          <w:i/>
          <w:iCs/>
        </w:rPr>
        <w:t>Review of Educational Research</w:t>
      </w:r>
      <w:r w:rsidRPr="009255EB">
        <w:t> 86.1 (2016): 79-122.</w:t>
      </w:r>
    </w:p>
    <w:p w14:paraId="2A5E83A8" w14:textId="77777777" w:rsidR="00460A94" w:rsidRDefault="00460A94" w:rsidP="00866C28">
      <w:pPr>
        <w:pStyle w:val="PCJReference"/>
      </w:pPr>
    </w:p>
    <w:p w14:paraId="60045270" w14:textId="15896C9C" w:rsidR="00460A94" w:rsidRDefault="00460A94" w:rsidP="00866C28">
      <w:pPr>
        <w:pStyle w:val="PCJReference"/>
      </w:pPr>
      <w:r w:rsidRPr="00460A94">
        <w:t>Cole, James. "First-year Students Reported Use of Video Games and Social Media in High School: Should We Be Concerned?" 31st Annual Conference on the First-Year Experience, National Resource Center: First-Year Experience and Students in Transition, 1 Feb. 2012, San Antonio, TX. Conference Presentation.</w:t>
      </w:r>
    </w:p>
    <w:p w14:paraId="0335910F" w14:textId="77777777" w:rsidR="009255EB" w:rsidRDefault="009255EB" w:rsidP="00866C28">
      <w:pPr>
        <w:pStyle w:val="PCJReference"/>
      </w:pPr>
    </w:p>
    <w:p w14:paraId="4FF4EC9A" w14:textId="6F91DBAB" w:rsidR="009255EB" w:rsidRDefault="009255EB" w:rsidP="00866C28">
      <w:pPr>
        <w:pStyle w:val="PCJReference"/>
      </w:pPr>
      <w:r w:rsidRPr="009255EB">
        <w:t>Dingman, Hayden. "Assassin’S Creed: Odyssey’</w:t>
      </w:r>
      <w:r>
        <w:t>s</w:t>
      </w:r>
      <w:r w:rsidRPr="009255EB">
        <w:t xml:space="preserve"> Educational Discovery Tour Mode Is Here at Last, and Better than Before." </w:t>
      </w:r>
      <w:r w:rsidRPr="009255EB">
        <w:rPr>
          <w:i/>
          <w:iCs/>
        </w:rPr>
        <w:t>PC Worl</w:t>
      </w:r>
      <w:r>
        <w:rPr>
          <w:i/>
          <w:iCs/>
        </w:rPr>
        <w:t>d</w:t>
      </w:r>
      <w:r w:rsidRPr="009255EB">
        <w:t>, 12 Sept. 2019, www.pcworld.com/article/398043/assassins-creed-odyssey-discovery-tour-mode.html. Accessed 7 Aug. 2023.</w:t>
      </w:r>
    </w:p>
    <w:p w14:paraId="62B49A17" w14:textId="77777777" w:rsidR="009255EB" w:rsidRDefault="009255EB" w:rsidP="00866C28">
      <w:pPr>
        <w:pStyle w:val="PCJReference"/>
      </w:pPr>
    </w:p>
    <w:p w14:paraId="760FCB1F" w14:textId="2B2B2B85" w:rsidR="009255EB" w:rsidRDefault="009255EB" w:rsidP="00866C28">
      <w:pPr>
        <w:pStyle w:val="PCJReference"/>
      </w:pPr>
      <w:r w:rsidRPr="009255EB">
        <w:t>Gibson, David., Clark Aldrich, and Marc. Prensky. </w:t>
      </w:r>
      <w:r w:rsidRPr="009255EB">
        <w:rPr>
          <w:i/>
          <w:iCs/>
        </w:rPr>
        <w:t>Games and Simulations in Online Learning : Research and Development Frameworks</w:t>
      </w:r>
      <w:r w:rsidRPr="009255EB">
        <w:t xml:space="preserve">. Hershey, PA: Information Science Pub., 2007. </w:t>
      </w:r>
    </w:p>
    <w:p w14:paraId="38594E84" w14:textId="77777777" w:rsidR="009255EB" w:rsidRDefault="009255EB" w:rsidP="00866C28">
      <w:pPr>
        <w:pStyle w:val="PCJReference"/>
      </w:pPr>
    </w:p>
    <w:p w14:paraId="1FF7A1E1" w14:textId="2EAEF259" w:rsidR="009255EB" w:rsidRDefault="009255EB" w:rsidP="00866C28">
      <w:pPr>
        <w:pStyle w:val="PCJReference"/>
      </w:pPr>
      <w:r w:rsidRPr="009255EB">
        <w:t>Gilbert, Lisa. "“ Assassin’s Creed Reminds Us That History Is Human Experience”: Students’ Senses of Empathy While Playing a Narrative Video Game." </w:t>
      </w:r>
      <w:r w:rsidRPr="009255EB">
        <w:rPr>
          <w:i/>
          <w:iCs/>
        </w:rPr>
        <w:t>Theory and Research in Social Education</w:t>
      </w:r>
      <w:r w:rsidRPr="009255EB">
        <w:t> 47.1 (2019): 108-37.</w:t>
      </w:r>
    </w:p>
    <w:p w14:paraId="6625C7F1" w14:textId="77777777" w:rsidR="00866C28" w:rsidRDefault="00866C28" w:rsidP="00866C28">
      <w:pPr>
        <w:pStyle w:val="PCJReference"/>
      </w:pPr>
    </w:p>
    <w:p w14:paraId="48FC9416" w14:textId="44437D54" w:rsidR="00866C28" w:rsidRDefault="00866C28" w:rsidP="00866C28">
      <w:pPr>
        <w:pStyle w:val="PCJReference"/>
      </w:pPr>
      <w:r w:rsidRPr="00866C28">
        <w:t>Gough, C</w:t>
      </w:r>
      <w:r>
        <w:t>.</w:t>
      </w:r>
      <w:r w:rsidRPr="00866C28">
        <w:t xml:space="preserve"> </w:t>
      </w:r>
      <w:r>
        <w:t>“</w:t>
      </w:r>
      <w:r w:rsidRPr="00866C28">
        <w:t xml:space="preserve">Value of the </w:t>
      </w:r>
      <w:r>
        <w:t>G</w:t>
      </w:r>
      <w:r w:rsidRPr="00866C28">
        <w:t xml:space="preserve">lobal </w:t>
      </w:r>
      <w:r>
        <w:t>V</w:t>
      </w:r>
      <w:r w:rsidRPr="00866C28">
        <w:t xml:space="preserve">ideo </w:t>
      </w:r>
      <w:r>
        <w:t>G</w:t>
      </w:r>
      <w:r w:rsidRPr="00866C28">
        <w:t xml:space="preserve">ames </w:t>
      </w:r>
      <w:r>
        <w:t>M</w:t>
      </w:r>
      <w:r w:rsidRPr="00866C28">
        <w:t>arket from 2012 to 2021</w:t>
      </w:r>
      <w:r>
        <w:t xml:space="preserve">.” </w:t>
      </w:r>
      <w:r>
        <w:rPr>
          <w:i/>
          <w:iCs/>
        </w:rPr>
        <w:t>Statista</w:t>
      </w:r>
      <w:r>
        <w:t>, 2018,</w:t>
      </w:r>
      <w:r w:rsidRPr="00866C28">
        <w:t xml:space="preserve"> https://www.statista.com/statistics/246888/value-of-the-global-video-game-market/</w:t>
      </w:r>
      <w:r>
        <w:t>. A</w:t>
      </w:r>
      <w:r w:rsidRPr="00866C28">
        <w:t>ccessed 13 December 2019</w:t>
      </w:r>
      <w:r>
        <w:t>.</w:t>
      </w:r>
    </w:p>
    <w:p w14:paraId="09209E79" w14:textId="77777777" w:rsidR="009255EB" w:rsidRDefault="009255EB" w:rsidP="00866C28">
      <w:pPr>
        <w:pStyle w:val="PCJReference"/>
      </w:pPr>
    </w:p>
    <w:p w14:paraId="46B4E48E" w14:textId="0BF3985E" w:rsidR="009255EB" w:rsidRDefault="009255EB" w:rsidP="00866C28">
      <w:pPr>
        <w:pStyle w:val="PCJReference"/>
      </w:pPr>
      <w:r>
        <w:t xml:space="preserve">Griffiths, M. “The Educational Benefit of Videogames.” </w:t>
      </w:r>
      <w:r>
        <w:rPr>
          <w:i/>
          <w:iCs/>
        </w:rPr>
        <w:t>Education and Health</w:t>
      </w:r>
      <w:r>
        <w:t xml:space="preserve"> 20.3 (2002): 47-51.</w:t>
      </w:r>
    </w:p>
    <w:p w14:paraId="2D780C62" w14:textId="77777777" w:rsidR="009255EB" w:rsidRDefault="009255EB" w:rsidP="00866C28">
      <w:pPr>
        <w:pStyle w:val="PCJReference"/>
      </w:pPr>
    </w:p>
    <w:p w14:paraId="51950418" w14:textId="30B5D536" w:rsidR="009255EB" w:rsidRDefault="009255EB" w:rsidP="00866C28">
      <w:pPr>
        <w:pStyle w:val="PCJReference"/>
      </w:pPr>
      <w:r w:rsidRPr="009255EB">
        <w:t>Hotton, Emily. "Game Review: Assassin’</w:t>
      </w:r>
      <w:r>
        <w:t>s</w:t>
      </w:r>
      <w:r w:rsidRPr="009255EB">
        <w:t xml:space="preserve"> Creed, Origins (Part 1)." </w:t>
      </w:r>
      <w:r w:rsidRPr="009255EB">
        <w:rPr>
          <w:i/>
          <w:iCs/>
        </w:rPr>
        <w:t>Nile Scribes</w:t>
      </w:r>
      <w:r w:rsidRPr="009255EB">
        <w:t>, 31 Mar. 2018, nilescribes.org/2018/03/31/game-review-assassins-creed-origins-part-1/. Accessed 7 Aug. 2023.</w:t>
      </w:r>
    </w:p>
    <w:p w14:paraId="2477374C" w14:textId="77777777" w:rsidR="009255EB" w:rsidRDefault="009255EB" w:rsidP="00866C28">
      <w:pPr>
        <w:pStyle w:val="PCJReference"/>
      </w:pPr>
    </w:p>
    <w:p w14:paraId="2C6B7A19" w14:textId="1335A00D" w:rsidR="009255EB" w:rsidRPr="009255EB" w:rsidRDefault="009255EB" w:rsidP="00866C28">
      <w:pPr>
        <w:pStyle w:val="PCJReference"/>
      </w:pPr>
      <w:r w:rsidRPr="009255EB">
        <w:t>HowLongToBeat. "Assassin’</w:t>
      </w:r>
      <w:r>
        <w:t>s</w:t>
      </w:r>
      <w:r w:rsidRPr="009255EB">
        <w:t xml:space="preserve"> Creed Odyssey." </w:t>
      </w:r>
      <w:r w:rsidRPr="009255EB">
        <w:rPr>
          <w:i/>
          <w:iCs/>
        </w:rPr>
        <w:t>How Long To Beat</w:t>
      </w:r>
      <w:r w:rsidRPr="009255EB">
        <w:t>, 2019, howlongtobeat.com/game/57503. Accessed 7 Aug. 2023.</w:t>
      </w:r>
    </w:p>
    <w:p w14:paraId="7D57025C" w14:textId="77777777" w:rsidR="005428B1" w:rsidRDefault="005428B1" w:rsidP="00866C28">
      <w:pPr>
        <w:pStyle w:val="PCJReference"/>
      </w:pPr>
    </w:p>
    <w:p w14:paraId="365D71A8" w14:textId="314093A0" w:rsidR="005428B1" w:rsidRDefault="005428B1" w:rsidP="00866C28">
      <w:pPr>
        <w:pStyle w:val="PCJReference"/>
      </w:pPr>
      <w:r w:rsidRPr="005428B1">
        <w:t xml:space="preserve">Jones, Steven. "Let the Games Begin: Gaming Technology and Entertainment among College Students." </w:t>
      </w:r>
      <w:r w:rsidRPr="005428B1">
        <w:rPr>
          <w:i/>
          <w:iCs/>
        </w:rPr>
        <w:t>Pew Internet and American Life Project</w:t>
      </w:r>
      <w:r w:rsidRPr="005428B1">
        <w:t>, 2003, https://www.pewresearch.org/internet/wp-content/uploads/sites/9/media/Files/Reports/2003/PIP_College_Gaming_Reporta.pdf.pdf. Accessed 5 Aug. 2023.</w:t>
      </w:r>
    </w:p>
    <w:p w14:paraId="4BA195A4" w14:textId="77777777" w:rsidR="009255EB" w:rsidRDefault="009255EB" w:rsidP="00866C28">
      <w:pPr>
        <w:pStyle w:val="PCJReference"/>
      </w:pPr>
    </w:p>
    <w:p w14:paraId="12F7E7C2" w14:textId="0D47CDCB" w:rsidR="009255EB" w:rsidRDefault="009255EB" w:rsidP="00866C28">
      <w:pPr>
        <w:pStyle w:val="PCJReference"/>
      </w:pPr>
      <w:r w:rsidRPr="009255EB">
        <w:t>Khine, Myint Swe. </w:t>
      </w:r>
      <w:r w:rsidRPr="009255EB">
        <w:rPr>
          <w:i/>
          <w:iCs/>
        </w:rPr>
        <w:t>Learning to Play Exploring the Future of Education with Video Games</w:t>
      </w:r>
      <w:r w:rsidRPr="009255EB">
        <w:t>. 1st, New ed. New York: Peter Lang, International Academic, 2011. New Literacies and Digital Epistemologies 53.</w:t>
      </w:r>
    </w:p>
    <w:p w14:paraId="1283F7FE" w14:textId="77777777" w:rsidR="009255EB" w:rsidRDefault="009255EB" w:rsidP="00866C28">
      <w:pPr>
        <w:pStyle w:val="PCJReference"/>
      </w:pPr>
    </w:p>
    <w:p w14:paraId="3467D79D" w14:textId="33896F16" w:rsidR="009255EB" w:rsidRDefault="009255EB" w:rsidP="00866C28">
      <w:pPr>
        <w:pStyle w:val="PCJReference"/>
      </w:pPr>
      <w:r w:rsidRPr="009255EB">
        <w:t>McCall, Jeremiah. </w:t>
      </w:r>
      <w:r w:rsidRPr="009255EB">
        <w:rPr>
          <w:i/>
          <w:iCs/>
        </w:rPr>
        <w:t>Gaming the Past Using Video Games to Teach Secondary History</w:t>
      </w:r>
      <w:r w:rsidRPr="009255EB">
        <w:t>. 1st ed. Hoboken: Taylor and Francis, 2013.</w:t>
      </w:r>
    </w:p>
    <w:p w14:paraId="45D3E8B5" w14:textId="77777777" w:rsidR="009255EB" w:rsidRDefault="009255EB" w:rsidP="00866C28">
      <w:pPr>
        <w:pStyle w:val="PCJReference"/>
      </w:pPr>
    </w:p>
    <w:p w14:paraId="530D87A1" w14:textId="5A53398E" w:rsidR="009255EB" w:rsidRDefault="009255EB" w:rsidP="00866C28">
      <w:pPr>
        <w:pStyle w:val="PCJReference"/>
      </w:pPr>
      <w:r w:rsidRPr="009255EB">
        <w:t>McCall</w:t>
      </w:r>
      <w:r>
        <w:t>, Jeremiah</w:t>
      </w:r>
      <w:r w:rsidRPr="009255EB">
        <w:t>. "Simulation Games and the Study of the Past." </w:t>
      </w:r>
      <w:r w:rsidRPr="009255EB">
        <w:rPr>
          <w:i/>
          <w:iCs/>
        </w:rPr>
        <w:t>Pastplay</w:t>
      </w:r>
      <w:r w:rsidRPr="009255EB">
        <w:t>. U of Michigan, 2014. 228.</w:t>
      </w:r>
    </w:p>
    <w:p w14:paraId="1B494FA7" w14:textId="77777777" w:rsidR="009255EB" w:rsidRDefault="009255EB" w:rsidP="00866C28">
      <w:pPr>
        <w:pStyle w:val="PCJReference"/>
      </w:pPr>
    </w:p>
    <w:p w14:paraId="752C4A41" w14:textId="04B75DC2" w:rsidR="009255EB" w:rsidRDefault="009255EB" w:rsidP="00866C28">
      <w:pPr>
        <w:pStyle w:val="PCJReference"/>
      </w:pPr>
      <w:r w:rsidRPr="009255EB">
        <w:t>McCall, Jeremiah. "Teaching History With Digital Historical Games." </w:t>
      </w:r>
      <w:r w:rsidRPr="009255EB">
        <w:rPr>
          <w:i/>
          <w:iCs/>
        </w:rPr>
        <w:t>Simulation &amp; Gaming</w:t>
      </w:r>
      <w:r w:rsidRPr="009255EB">
        <w:t> 47.4 (2016): 517-42.</w:t>
      </w:r>
    </w:p>
    <w:p w14:paraId="71C493E3" w14:textId="77777777" w:rsidR="009255EB" w:rsidRDefault="009255EB" w:rsidP="00866C28">
      <w:pPr>
        <w:pStyle w:val="PCJReference"/>
      </w:pPr>
    </w:p>
    <w:p w14:paraId="53F9913F" w14:textId="051E5D0A" w:rsidR="009255EB" w:rsidRPr="009255EB" w:rsidRDefault="009255EB" w:rsidP="00866C28">
      <w:pPr>
        <w:pStyle w:val="PCJReference"/>
      </w:pPr>
      <w:r>
        <w:t xml:space="preserve">McCall, Jeremiah. “Playing with the Past: History and Video Games (and Why It Might Matter).” </w:t>
      </w:r>
      <w:r>
        <w:rPr>
          <w:i/>
          <w:iCs/>
        </w:rPr>
        <w:t>Journal of Geek Studies</w:t>
      </w:r>
      <w:r>
        <w:t xml:space="preserve"> 6.1 (2019): 29-48.</w:t>
      </w:r>
    </w:p>
    <w:p w14:paraId="3B7FD570" w14:textId="77777777" w:rsidR="009255EB" w:rsidRDefault="009255EB" w:rsidP="009255EB">
      <w:pPr>
        <w:pStyle w:val="PCJReference"/>
        <w:ind w:left="0" w:firstLine="0"/>
      </w:pPr>
    </w:p>
    <w:p w14:paraId="18EBA549" w14:textId="5446B4F5" w:rsidR="009255EB" w:rsidRDefault="009255EB" w:rsidP="00866C28">
      <w:pPr>
        <w:pStyle w:val="PCJReference"/>
      </w:pPr>
      <w:r>
        <w:t xml:space="preserve">Mitchell, A. and C. Savill-Smith. </w:t>
      </w:r>
      <w:r>
        <w:rPr>
          <w:i/>
          <w:iCs/>
        </w:rPr>
        <w:t>The Use of Computer and Video Games for Learning: A Review of the Literature</w:t>
      </w:r>
      <w:r>
        <w:t>. London: Learning and Skills Development Agency, 2004.</w:t>
      </w:r>
    </w:p>
    <w:p w14:paraId="3B66D069" w14:textId="77777777" w:rsidR="009255EB" w:rsidRDefault="009255EB" w:rsidP="00866C28">
      <w:pPr>
        <w:pStyle w:val="PCJReference"/>
      </w:pPr>
    </w:p>
    <w:p w14:paraId="1F182B76" w14:textId="784E2C46" w:rsidR="009255EB" w:rsidRDefault="009255EB" w:rsidP="00866C28">
      <w:pPr>
        <w:pStyle w:val="PCJReference"/>
      </w:pPr>
      <w:r w:rsidRPr="009255EB">
        <w:t>Metacritic. "Assassin’</w:t>
      </w:r>
      <w:r>
        <w:t xml:space="preserve">s </w:t>
      </w:r>
      <w:r w:rsidRPr="009255EB">
        <w:t>Creed Odyssey for Playstation 4 Reviews." </w:t>
      </w:r>
      <w:r w:rsidRPr="009255EB">
        <w:rPr>
          <w:i/>
          <w:iCs/>
        </w:rPr>
        <w:t>Metacritic</w:t>
      </w:r>
      <w:r w:rsidRPr="009255EB">
        <w:t>, 2 Oct. 2018, www.metacritic.com/game/playstation-4/assassins-creed-odyssey. Accessed 7 Aug. 2023.</w:t>
      </w:r>
    </w:p>
    <w:p w14:paraId="52FC4484" w14:textId="77777777" w:rsidR="009255EB" w:rsidRDefault="009255EB" w:rsidP="00866C28">
      <w:pPr>
        <w:pStyle w:val="PCJReference"/>
      </w:pPr>
    </w:p>
    <w:p w14:paraId="3E24BAC5" w14:textId="65755A8E" w:rsidR="009255EB" w:rsidRPr="009255EB" w:rsidRDefault="009255EB" w:rsidP="00866C28">
      <w:pPr>
        <w:pStyle w:val="PCJReference"/>
      </w:pPr>
      <w:r>
        <w:t xml:space="preserve">Mol, Angus A. “Path of Honors: First Response.” </w:t>
      </w:r>
      <w:r>
        <w:rPr>
          <w:i/>
          <w:iCs/>
        </w:rPr>
        <w:t>Epoiesen</w:t>
      </w:r>
      <w:r>
        <w:t xml:space="preserve">, 2018. </w:t>
      </w:r>
    </w:p>
    <w:p w14:paraId="59B3D857" w14:textId="77777777" w:rsidR="009255EB" w:rsidRDefault="009255EB" w:rsidP="00866C28">
      <w:pPr>
        <w:pStyle w:val="PCJReference"/>
      </w:pPr>
    </w:p>
    <w:p w14:paraId="7B345D90" w14:textId="47F56E02" w:rsidR="009255EB" w:rsidRDefault="009255EB" w:rsidP="00866C28">
      <w:pPr>
        <w:pStyle w:val="PCJReference"/>
      </w:pPr>
      <w:r w:rsidRPr="009255EB">
        <w:t>Mol, Angus A.</w:t>
      </w:r>
      <w:r>
        <w:t>, Ariese-Vandemeulebroucke, Csilla, Boom, Krijn, and Politopoulos, Aris.</w:t>
      </w:r>
      <w:r w:rsidRPr="009255EB">
        <w:t> </w:t>
      </w:r>
      <w:r>
        <w:t xml:space="preserve">“Video Games in Archaeology: Enjoyable but Trivial?” </w:t>
      </w:r>
      <w:r>
        <w:rPr>
          <w:i/>
          <w:iCs/>
        </w:rPr>
        <w:t>The SAA Archaeological Record</w:t>
      </w:r>
      <w:r>
        <w:t xml:space="preserve"> 16.5</w:t>
      </w:r>
      <w:r w:rsidRPr="009255EB">
        <w:t xml:space="preserve"> </w:t>
      </w:r>
      <w:r>
        <w:t>(</w:t>
      </w:r>
      <w:r w:rsidRPr="009255EB">
        <w:t>201</w:t>
      </w:r>
      <w:r>
        <w:t>6): 11-15</w:t>
      </w:r>
      <w:r w:rsidRPr="009255EB">
        <w:t>.</w:t>
      </w:r>
    </w:p>
    <w:p w14:paraId="2E0D2F3C" w14:textId="77777777" w:rsidR="009255EB" w:rsidRDefault="009255EB" w:rsidP="00866C28">
      <w:pPr>
        <w:pStyle w:val="PCJReference"/>
      </w:pPr>
    </w:p>
    <w:p w14:paraId="0609C2A9" w14:textId="3B59B2FD" w:rsidR="009255EB" w:rsidRDefault="009255EB" w:rsidP="00866C28">
      <w:pPr>
        <w:pStyle w:val="PCJReference"/>
      </w:pPr>
      <w:r w:rsidRPr="009255EB">
        <w:t>Mol, Angus A.</w:t>
      </w:r>
      <w:r>
        <w:t xml:space="preserve">, </w:t>
      </w:r>
      <w:r>
        <w:t>Ariese-Vandemeulebroucke, Csilla</w:t>
      </w:r>
      <w:r>
        <w:t>, Boom, Krijn, and Politopoulos, Aris, (eds).</w:t>
      </w:r>
      <w:r w:rsidRPr="009255EB">
        <w:t> </w:t>
      </w:r>
      <w:r w:rsidRPr="009255EB">
        <w:rPr>
          <w:i/>
          <w:iCs/>
        </w:rPr>
        <w:t>The Interactive past Archaeology, Heritage &amp; Video Games</w:t>
      </w:r>
      <w:r w:rsidRPr="009255EB">
        <w:t>. 2017.</w:t>
      </w:r>
    </w:p>
    <w:p w14:paraId="131FEB72" w14:textId="77777777" w:rsidR="009255EB" w:rsidRDefault="009255EB" w:rsidP="00866C28">
      <w:pPr>
        <w:pStyle w:val="PCJReference"/>
      </w:pPr>
    </w:p>
    <w:p w14:paraId="543F8A6B" w14:textId="456AD6BA" w:rsidR="009255EB" w:rsidRDefault="009255EB" w:rsidP="00866C28">
      <w:pPr>
        <w:pStyle w:val="PCJReference"/>
      </w:pPr>
      <w:r w:rsidRPr="009255EB">
        <w:t>Pitarch, Ricardo Casañ. "An Approach to Digital Game-based Learning: Video-games Principles and Applications in Foreign Language Learning." </w:t>
      </w:r>
      <w:r w:rsidRPr="009255EB">
        <w:rPr>
          <w:i/>
          <w:iCs/>
        </w:rPr>
        <w:t>Journal of Language Teaching and Research</w:t>
      </w:r>
      <w:r w:rsidRPr="009255EB">
        <w:t> 9.6 (2018): 1147-159.</w:t>
      </w:r>
    </w:p>
    <w:p w14:paraId="05CDAC83" w14:textId="77777777" w:rsidR="009255EB" w:rsidRDefault="009255EB" w:rsidP="00866C28">
      <w:pPr>
        <w:pStyle w:val="PCJReference"/>
      </w:pPr>
    </w:p>
    <w:p w14:paraId="68FFE551" w14:textId="0EB12593" w:rsidR="009255EB" w:rsidRDefault="009255EB" w:rsidP="00866C28">
      <w:pPr>
        <w:pStyle w:val="PCJReference"/>
      </w:pPr>
      <w:r w:rsidRPr="009255EB">
        <w:t>Politopoulos, A., A.A.A Mol, K.H.J Boom, and C.E Ariese. "“History Is Our Playground”: Action and Authenticity in Assassin's Creed: Odyssey." </w:t>
      </w:r>
      <w:r w:rsidRPr="009255EB">
        <w:rPr>
          <w:i/>
          <w:iCs/>
        </w:rPr>
        <w:t>Advances in Archaeological Practice</w:t>
      </w:r>
      <w:r w:rsidRPr="009255EB">
        <w:t> 7.3 (2019</w:t>
      </w:r>
      <w:r>
        <w:t>a</w:t>
      </w:r>
      <w:r w:rsidRPr="009255EB">
        <w:t>): 317-23.</w:t>
      </w:r>
    </w:p>
    <w:p w14:paraId="5024668A" w14:textId="77777777" w:rsidR="009255EB" w:rsidRDefault="009255EB" w:rsidP="00866C28">
      <w:pPr>
        <w:pStyle w:val="PCJReference"/>
      </w:pPr>
    </w:p>
    <w:p w14:paraId="0E33B9BE" w14:textId="71D99CF7" w:rsidR="009255EB" w:rsidRDefault="009255EB" w:rsidP="00866C28">
      <w:pPr>
        <w:pStyle w:val="PCJReference"/>
      </w:pPr>
      <w:r w:rsidRPr="009255EB">
        <w:t>Politopoulos, A., C. Ariese, K. Boom, and A. Mol. "Romans and Rollercoasters: Scholarship in the Digital Playground." </w:t>
      </w:r>
      <w:r w:rsidRPr="009255EB">
        <w:rPr>
          <w:i/>
          <w:iCs/>
        </w:rPr>
        <w:t>Journal of Computer Applications in Archaeology</w:t>
      </w:r>
      <w:r w:rsidRPr="009255EB">
        <w:t> 2.1 (2019</w:t>
      </w:r>
      <w:r>
        <w:t>b</w:t>
      </w:r>
      <w:r w:rsidRPr="009255EB">
        <w:t>): 163-75.</w:t>
      </w:r>
    </w:p>
    <w:p w14:paraId="7308F39B" w14:textId="77777777" w:rsidR="009255EB" w:rsidRDefault="009255EB" w:rsidP="00866C28">
      <w:pPr>
        <w:pStyle w:val="PCJReference"/>
      </w:pPr>
    </w:p>
    <w:p w14:paraId="254E19E3" w14:textId="25C3C177" w:rsidR="009255EB" w:rsidRPr="00866C28" w:rsidRDefault="009255EB" w:rsidP="00866C28">
      <w:pPr>
        <w:pStyle w:val="PCJReference"/>
      </w:pPr>
      <w:r w:rsidRPr="009255EB">
        <w:t>Poiron, Perrine. "Assassin’s Creed Origins Discovery Tour." </w:t>
      </w:r>
      <w:r w:rsidRPr="009255EB">
        <w:rPr>
          <w:i/>
          <w:iCs/>
        </w:rPr>
        <w:t>Near Eastern Archaeology</w:t>
      </w:r>
      <w:r w:rsidRPr="009255EB">
        <w:t> 84.1 (2021): 79-85. </w:t>
      </w:r>
    </w:p>
    <w:p w14:paraId="6D5AA48A" w14:textId="77777777" w:rsidR="00866C28" w:rsidRDefault="00866C28" w:rsidP="00866C28">
      <w:pPr>
        <w:pStyle w:val="PCJReference"/>
      </w:pPr>
    </w:p>
    <w:p w14:paraId="4F1C699F" w14:textId="4BD20C30" w:rsidR="009255EB" w:rsidRDefault="009255EB" w:rsidP="00866C28">
      <w:pPr>
        <w:pStyle w:val="PCJReference"/>
      </w:pPr>
      <w:r w:rsidRPr="009255EB">
        <w:t>Reinhard, Andrew. "Classics Pedagogy in the Twenty-First Century: Technology." </w:t>
      </w:r>
      <w:r w:rsidRPr="009255EB">
        <w:rPr>
          <w:i/>
          <w:iCs/>
        </w:rPr>
        <w:t>The Classical World</w:t>
      </w:r>
      <w:r w:rsidRPr="009255EB">
        <w:t> 106.1 (2012): 121-24.</w:t>
      </w:r>
    </w:p>
    <w:p w14:paraId="2AA3993F" w14:textId="77777777" w:rsidR="009255EB" w:rsidRDefault="009255EB" w:rsidP="00866C28">
      <w:pPr>
        <w:pStyle w:val="PCJReference"/>
      </w:pPr>
    </w:p>
    <w:p w14:paraId="059D040A" w14:textId="08439E44" w:rsidR="009255EB" w:rsidRDefault="009255EB" w:rsidP="00866C28">
      <w:pPr>
        <w:pStyle w:val="PCJReference"/>
      </w:pPr>
      <w:r w:rsidRPr="009255EB">
        <w:t>Reinhard, Andrew. </w:t>
      </w:r>
      <w:r w:rsidRPr="009255EB">
        <w:rPr>
          <w:i/>
          <w:iCs/>
        </w:rPr>
        <w:t>Archaeogaming : An Introduction to Archaeology in and of Video Games</w:t>
      </w:r>
      <w:r w:rsidRPr="009255EB">
        <w:t xml:space="preserve">. </w:t>
      </w:r>
      <w:r>
        <w:t xml:space="preserve">New York: Berghahn Books, </w:t>
      </w:r>
      <w:r w:rsidRPr="009255EB">
        <w:t>2018.</w:t>
      </w:r>
    </w:p>
    <w:p w14:paraId="301AC869" w14:textId="77777777" w:rsidR="009255EB" w:rsidRDefault="009255EB" w:rsidP="00866C28">
      <w:pPr>
        <w:pStyle w:val="PCJReference"/>
      </w:pPr>
    </w:p>
    <w:p w14:paraId="629EF842" w14:textId="74827868" w:rsidR="00866C28" w:rsidRDefault="00866C28" w:rsidP="00866C28">
      <w:pPr>
        <w:pStyle w:val="PCJReference"/>
      </w:pPr>
      <w:r w:rsidRPr="00866C28">
        <w:t xml:space="preserve">Schmidt, Benajamin. "The History BA Since the Great Recession: The 2018 AHA Majors Report." </w:t>
      </w:r>
      <w:r w:rsidRPr="00866C28">
        <w:rPr>
          <w:i/>
          <w:iCs/>
        </w:rPr>
        <w:t>Perspectives on History</w:t>
      </w:r>
      <w:r w:rsidRPr="00866C28">
        <w:t>, 2018, https://www.historians.org/publications-and-directories/perspectives-on-history/december-2018/the-history-ba-since-the-great-recession-the-2018-aha-majors-report. Accessed 5 Aug. 2023.</w:t>
      </w:r>
    </w:p>
    <w:p w14:paraId="0E9C28C7" w14:textId="77777777" w:rsidR="009255EB" w:rsidRDefault="009255EB" w:rsidP="00866C28">
      <w:pPr>
        <w:pStyle w:val="PCJReference"/>
      </w:pPr>
    </w:p>
    <w:p w14:paraId="5E84DAAB" w14:textId="545F2CCC" w:rsidR="009255EB" w:rsidRDefault="009255EB" w:rsidP="00866C28">
      <w:pPr>
        <w:pStyle w:val="PCJReference"/>
      </w:pPr>
      <w:r w:rsidRPr="009255EB">
        <w:t>Squire, Kurt D., Ben DeVane, and Shree Durga. "Designing Centers of Expertise for Academic Learning Through Video Games." </w:t>
      </w:r>
      <w:r w:rsidRPr="009255EB">
        <w:rPr>
          <w:i/>
          <w:iCs/>
        </w:rPr>
        <w:t>Theory into Practice</w:t>
      </w:r>
      <w:r w:rsidRPr="009255EB">
        <w:t> 47.3 (2008): 240-51.</w:t>
      </w:r>
    </w:p>
    <w:p w14:paraId="4DB74B03" w14:textId="77777777" w:rsidR="009255EB" w:rsidRDefault="009255EB" w:rsidP="00866C28">
      <w:pPr>
        <w:pStyle w:val="PCJReference"/>
      </w:pPr>
    </w:p>
    <w:p w14:paraId="4BF408EC" w14:textId="6831CEF9" w:rsidR="009255EB" w:rsidRDefault="009255EB" w:rsidP="00866C28">
      <w:pPr>
        <w:pStyle w:val="PCJReference"/>
      </w:pPr>
      <w:r w:rsidRPr="009255EB">
        <w:t>Squire, Kurt., and Henry Jenkins. </w:t>
      </w:r>
      <w:r w:rsidRPr="009255EB">
        <w:rPr>
          <w:i/>
          <w:iCs/>
        </w:rPr>
        <w:t>Video Games and Learning : Teaching and Participatory Culture in the Digital Age</w:t>
      </w:r>
      <w:r w:rsidRPr="009255EB">
        <w:t xml:space="preserve">. New York: Teachers College, 2011. </w:t>
      </w:r>
    </w:p>
    <w:p w14:paraId="5AAE8B5C" w14:textId="77777777" w:rsidR="005428B1" w:rsidRDefault="005428B1" w:rsidP="00866C28">
      <w:pPr>
        <w:pStyle w:val="PCJReference"/>
      </w:pPr>
    </w:p>
    <w:p w14:paraId="52D7680C" w14:textId="56938B1A" w:rsidR="005428B1" w:rsidRPr="00972FCB" w:rsidRDefault="005428B1" w:rsidP="00866C28">
      <w:pPr>
        <w:pStyle w:val="PCJReference"/>
      </w:pPr>
      <w:r w:rsidRPr="005428B1">
        <w:t xml:space="preserve">Takeuchi, Lori M., and Sarah Vaala. </w:t>
      </w:r>
      <w:r w:rsidRPr="005428B1">
        <w:rPr>
          <w:i/>
          <w:iCs/>
        </w:rPr>
        <w:t>Level Up Learning: A National Survey on Teaching with Digital Games</w:t>
      </w:r>
      <w:r w:rsidRPr="005428B1">
        <w:t xml:space="preserve">. </w:t>
      </w:r>
      <w:r w:rsidRPr="005428B1">
        <w:rPr>
          <w:i/>
          <w:iCs/>
        </w:rPr>
        <w:t>The Joan Ganz Cooney Center at Sesame Workshop</w:t>
      </w:r>
      <w:r w:rsidRPr="005428B1">
        <w:t>, 2014.</w:t>
      </w:r>
    </w:p>
    <w:p w14:paraId="474F71C6" w14:textId="3DF97F2F" w:rsidR="00497626" w:rsidRDefault="00497626" w:rsidP="00DF4C68">
      <w:pPr>
        <w:pStyle w:val="PCJReference"/>
      </w:pPr>
    </w:p>
    <w:p w14:paraId="484E1E6B" w14:textId="43F5EEAD" w:rsidR="009255EB" w:rsidRPr="00972FCB" w:rsidRDefault="009255EB" w:rsidP="00DF4C68">
      <w:pPr>
        <w:pStyle w:val="PCJReference"/>
      </w:pPr>
      <w:r w:rsidRPr="009255EB">
        <w:t>Young, Slota, Young, Michael F. D., and Slota, Stephen T. </w:t>
      </w:r>
      <w:r w:rsidRPr="009255EB">
        <w:rPr>
          <w:i/>
          <w:iCs/>
        </w:rPr>
        <w:t>Exploding the Castle : Rethinking How Video Games and Game Mechanics Can Shape the Future of Education</w:t>
      </w:r>
      <w:r w:rsidRPr="009255EB">
        <w:t>. 2017. Psychological Perspectives on Contemporary Educational Issues.</w:t>
      </w:r>
    </w:p>
    <w:sectPr w:rsidR="009255EB" w:rsidRPr="00972FCB" w:rsidSect="00CE127D">
      <w:headerReference w:type="first" r:id="rId10"/>
      <w:footerReference w:type="first" r:id="rId11"/>
      <w:type w:val="nextColumn"/>
      <w:pgSz w:w="11901" w:h="16817"/>
      <w:pgMar w:top="1440" w:right="1440" w:bottom="1440" w:left="1440" w:header="862"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A85D6" w14:textId="77777777" w:rsidR="007E6ABC" w:rsidRDefault="007E6ABC" w:rsidP="003741D9">
      <w:r>
        <w:separator/>
      </w:r>
    </w:p>
  </w:endnote>
  <w:endnote w:type="continuationSeparator" w:id="0">
    <w:p w14:paraId="36ECC351" w14:textId="77777777" w:rsidR="007E6ABC" w:rsidRDefault="007E6ABC" w:rsidP="0037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366204"/>
      <w:docPartObj>
        <w:docPartGallery w:val="Page Numbers (Bottom of Page)"/>
        <w:docPartUnique/>
      </w:docPartObj>
    </w:sdtPr>
    <w:sdtContent>
      <w:p w14:paraId="2554D3DF" w14:textId="77777777" w:rsidR="00707C2E" w:rsidRDefault="00707C2E">
        <w:pPr>
          <w:pStyle w:val="Footer"/>
          <w:jc w:val="center"/>
        </w:pPr>
        <w:r>
          <w:fldChar w:fldCharType="begin"/>
        </w:r>
        <w:r>
          <w:instrText>PAGE   \* MERGEFORMAT</w:instrText>
        </w:r>
        <w:r>
          <w:fldChar w:fldCharType="separate"/>
        </w:r>
        <w:r w:rsidR="00CE127D" w:rsidRPr="00CE127D">
          <w:rPr>
            <w:noProof/>
            <w:lang w:val="fr-FR"/>
          </w:rPr>
          <w:t>1</w:t>
        </w:r>
        <w:r>
          <w:fldChar w:fldCharType="end"/>
        </w:r>
      </w:p>
    </w:sdtContent>
  </w:sdt>
  <w:p w14:paraId="4250D273" w14:textId="77777777" w:rsidR="00707C2E" w:rsidRDefault="00707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17F88" w14:textId="77777777" w:rsidR="007E6ABC" w:rsidRDefault="007E6ABC" w:rsidP="003741D9">
      <w:r>
        <w:separator/>
      </w:r>
    </w:p>
  </w:footnote>
  <w:footnote w:type="continuationSeparator" w:id="0">
    <w:p w14:paraId="45FFD32E" w14:textId="77777777" w:rsidR="007E6ABC" w:rsidRDefault="007E6ABC" w:rsidP="00374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F58B" w14:textId="77777777" w:rsidR="00570E06" w:rsidRDefault="00570E06" w:rsidP="00570E06">
    <w:pPr>
      <w:pStyle w:val="Header"/>
      <w:tabs>
        <w:tab w:val="clear" w:pos="9072"/>
        <w:tab w:val="left" w:pos="8204"/>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922F2"/>
    <w:multiLevelType w:val="multilevel"/>
    <w:tmpl w:val="952A0A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AC545A"/>
    <w:multiLevelType w:val="multilevel"/>
    <w:tmpl w:val="DA36D47E"/>
    <w:lvl w:ilvl="0">
      <w:start w:val="1"/>
      <w:numFmt w:val="decimal"/>
      <w:lvlText w:val="%1"/>
      <w:lvlJc w:val="left"/>
      <w:pPr>
        <w:tabs>
          <w:tab w:val="num" w:pos="431"/>
        </w:tabs>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36118E7"/>
    <w:multiLevelType w:val="multilevel"/>
    <w:tmpl w:val="7EFE6A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C83BA5"/>
    <w:multiLevelType w:val="hybridMultilevel"/>
    <w:tmpl w:val="DFC6645C"/>
    <w:lvl w:ilvl="0" w:tplc="96F6C71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971835"/>
    <w:multiLevelType w:val="hybridMultilevel"/>
    <w:tmpl w:val="631A3EAA"/>
    <w:lvl w:ilvl="0" w:tplc="4DDED3CE">
      <w:start w:val="1"/>
      <w:numFmt w:val="decimal"/>
      <w:pStyle w:val="PCJEquation"/>
      <w:lvlText w:val="(%1)"/>
      <w:lvlJc w:val="left"/>
      <w:pPr>
        <w:ind w:left="1021" w:hanging="1021"/>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E984FE1"/>
    <w:multiLevelType w:val="hybridMultilevel"/>
    <w:tmpl w:val="9BAED290"/>
    <w:lvl w:ilvl="0" w:tplc="0409000F">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6" w15:restartNumberingAfterBreak="0">
    <w:nsid w:val="551A087C"/>
    <w:multiLevelType w:val="multilevel"/>
    <w:tmpl w:val="59AEE2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ACC7C6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87035072">
    <w:abstractNumId w:val="1"/>
  </w:num>
  <w:num w:numId="2" w16cid:durableId="2113015919">
    <w:abstractNumId w:val="2"/>
  </w:num>
  <w:num w:numId="3" w16cid:durableId="634025078">
    <w:abstractNumId w:val="3"/>
  </w:num>
  <w:num w:numId="4" w16cid:durableId="509873482">
    <w:abstractNumId w:val="7"/>
  </w:num>
  <w:num w:numId="5" w16cid:durableId="352538465">
    <w:abstractNumId w:val="4"/>
  </w:num>
  <w:num w:numId="6" w16cid:durableId="26221286">
    <w:abstractNumId w:val="6"/>
  </w:num>
  <w:num w:numId="7" w16cid:durableId="1060207535">
    <w:abstractNumId w:val="0"/>
  </w:num>
  <w:num w:numId="8" w16cid:durableId="56900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B5"/>
    <w:rsid w:val="00004AFA"/>
    <w:rsid w:val="0000701E"/>
    <w:rsid w:val="00016CB1"/>
    <w:rsid w:val="00025259"/>
    <w:rsid w:val="000321C2"/>
    <w:rsid w:val="000615A3"/>
    <w:rsid w:val="00070D4C"/>
    <w:rsid w:val="000A54AB"/>
    <w:rsid w:val="000B34E5"/>
    <w:rsid w:val="000C5FFF"/>
    <w:rsid w:val="000E2524"/>
    <w:rsid w:val="000E39AB"/>
    <w:rsid w:val="00125D61"/>
    <w:rsid w:val="00131F11"/>
    <w:rsid w:val="00170964"/>
    <w:rsid w:val="001875B8"/>
    <w:rsid w:val="001901AF"/>
    <w:rsid w:val="00195186"/>
    <w:rsid w:val="001A0C05"/>
    <w:rsid w:val="001A13F4"/>
    <w:rsid w:val="001A150B"/>
    <w:rsid w:val="001A6502"/>
    <w:rsid w:val="001A70AB"/>
    <w:rsid w:val="001C411B"/>
    <w:rsid w:val="001E136B"/>
    <w:rsid w:val="001E4FA9"/>
    <w:rsid w:val="001F3775"/>
    <w:rsid w:val="001F6B90"/>
    <w:rsid w:val="00205BDD"/>
    <w:rsid w:val="00220EEE"/>
    <w:rsid w:val="002224D3"/>
    <w:rsid w:val="00234CCE"/>
    <w:rsid w:val="00245BB0"/>
    <w:rsid w:val="002576D3"/>
    <w:rsid w:val="002663DF"/>
    <w:rsid w:val="0027416F"/>
    <w:rsid w:val="002754C3"/>
    <w:rsid w:val="00275F80"/>
    <w:rsid w:val="002B68D3"/>
    <w:rsid w:val="002C1049"/>
    <w:rsid w:val="002D0AE2"/>
    <w:rsid w:val="002D268D"/>
    <w:rsid w:val="002D28F7"/>
    <w:rsid w:val="002E7D8D"/>
    <w:rsid w:val="00300577"/>
    <w:rsid w:val="00305356"/>
    <w:rsid w:val="0030683E"/>
    <w:rsid w:val="00316FC6"/>
    <w:rsid w:val="00317F77"/>
    <w:rsid w:val="00321317"/>
    <w:rsid w:val="00323EFF"/>
    <w:rsid w:val="00330480"/>
    <w:rsid w:val="003410B2"/>
    <w:rsid w:val="00361965"/>
    <w:rsid w:val="00366B24"/>
    <w:rsid w:val="003741D9"/>
    <w:rsid w:val="003755FF"/>
    <w:rsid w:val="00382105"/>
    <w:rsid w:val="003821CF"/>
    <w:rsid w:val="00387119"/>
    <w:rsid w:val="00393D16"/>
    <w:rsid w:val="00395A13"/>
    <w:rsid w:val="00396401"/>
    <w:rsid w:val="003A39ED"/>
    <w:rsid w:val="003A557F"/>
    <w:rsid w:val="003C1028"/>
    <w:rsid w:val="003C4C84"/>
    <w:rsid w:val="003D2BC9"/>
    <w:rsid w:val="003F1E6E"/>
    <w:rsid w:val="003F5833"/>
    <w:rsid w:val="00400768"/>
    <w:rsid w:val="00410973"/>
    <w:rsid w:val="00411CD8"/>
    <w:rsid w:val="00414B24"/>
    <w:rsid w:val="00425F47"/>
    <w:rsid w:val="00433A7F"/>
    <w:rsid w:val="00443143"/>
    <w:rsid w:val="00443A7C"/>
    <w:rsid w:val="00460A94"/>
    <w:rsid w:val="00461617"/>
    <w:rsid w:val="00466CE8"/>
    <w:rsid w:val="00472943"/>
    <w:rsid w:val="004731F7"/>
    <w:rsid w:val="0047628C"/>
    <w:rsid w:val="004777A6"/>
    <w:rsid w:val="004811CF"/>
    <w:rsid w:val="00484108"/>
    <w:rsid w:val="00497626"/>
    <w:rsid w:val="004B3347"/>
    <w:rsid w:val="004C0B1C"/>
    <w:rsid w:val="004C5E20"/>
    <w:rsid w:val="004D25F0"/>
    <w:rsid w:val="004D2CED"/>
    <w:rsid w:val="004D35BE"/>
    <w:rsid w:val="004E5379"/>
    <w:rsid w:val="004F5067"/>
    <w:rsid w:val="004F6D15"/>
    <w:rsid w:val="005024B5"/>
    <w:rsid w:val="005106BF"/>
    <w:rsid w:val="00512E3B"/>
    <w:rsid w:val="00516E4A"/>
    <w:rsid w:val="005233C0"/>
    <w:rsid w:val="005428B1"/>
    <w:rsid w:val="00546F36"/>
    <w:rsid w:val="0055088E"/>
    <w:rsid w:val="00554939"/>
    <w:rsid w:val="00567BF7"/>
    <w:rsid w:val="00570E06"/>
    <w:rsid w:val="0058430E"/>
    <w:rsid w:val="005A1C6C"/>
    <w:rsid w:val="005B377E"/>
    <w:rsid w:val="005B538B"/>
    <w:rsid w:val="005D7916"/>
    <w:rsid w:val="005F1219"/>
    <w:rsid w:val="00600115"/>
    <w:rsid w:val="006008B2"/>
    <w:rsid w:val="00612442"/>
    <w:rsid w:val="00625105"/>
    <w:rsid w:val="006408EE"/>
    <w:rsid w:val="00682692"/>
    <w:rsid w:val="00692F13"/>
    <w:rsid w:val="00697CBB"/>
    <w:rsid w:val="006A0775"/>
    <w:rsid w:val="006A3244"/>
    <w:rsid w:val="006A4D45"/>
    <w:rsid w:val="006B762F"/>
    <w:rsid w:val="006C2EA3"/>
    <w:rsid w:val="006E1F04"/>
    <w:rsid w:val="006E5356"/>
    <w:rsid w:val="006F2F49"/>
    <w:rsid w:val="0070259F"/>
    <w:rsid w:val="00705110"/>
    <w:rsid w:val="00707C2E"/>
    <w:rsid w:val="00711153"/>
    <w:rsid w:val="00716328"/>
    <w:rsid w:val="00720299"/>
    <w:rsid w:val="0074399A"/>
    <w:rsid w:val="007506BF"/>
    <w:rsid w:val="007549E1"/>
    <w:rsid w:val="00766EF3"/>
    <w:rsid w:val="007729DE"/>
    <w:rsid w:val="0077342A"/>
    <w:rsid w:val="007846A3"/>
    <w:rsid w:val="00790527"/>
    <w:rsid w:val="00790E83"/>
    <w:rsid w:val="0079372D"/>
    <w:rsid w:val="00793B5D"/>
    <w:rsid w:val="007A0449"/>
    <w:rsid w:val="007C0417"/>
    <w:rsid w:val="007C139B"/>
    <w:rsid w:val="007C1D8B"/>
    <w:rsid w:val="007C518C"/>
    <w:rsid w:val="007D1A12"/>
    <w:rsid w:val="007E6ABC"/>
    <w:rsid w:val="007F15AE"/>
    <w:rsid w:val="007F5AAE"/>
    <w:rsid w:val="007F6545"/>
    <w:rsid w:val="008140BF"/>
    <w:rsid w:val="008151BC"/>
    <w:rsid w:val="008263E4"/>
    <w:rsid w:val="00830520"/>
    <w:rsid w:val="00836A3F"/>
    <w:rsid w:val="00853140"/>
    <w:rsid w:val="00863E9F"/>
    <w:rsid w:val="00866C28"/>
    <w:rsid w:val="00867E14"/>
    <w:rsid w:val="008701AA"/>
    <w:rsid w:val="0088258C"/>
    <w:rsid w:val="00895C11"/>
    <w:rsid w:val="008A0E40"/>
    <w:rsid w:val="008B0043"/>
    <w:rsid w:val="008D5A87"/>
    <w:rsid w:val="008E6C07"/>
    <w:rsid w:val="008F127C"/>
    <w:rsid w:val="008F2AD3"/>
    <w:rsid w:val="00904132"/>
    <w:rsid w:val="009255EB"/>
    <w:rsid w:val="0095714E"/>
    <w:rsid w:val="00966FC8"/>
    <w:rsid w:val="00972FCB"/>
    <w:rsid w:val="00981A09"/>
    <w:rsid w:val="00982BA4"/>
    <w:rsid w:val="009A614F"/>
    <w:rsid w:val="009A7054"/>
    <w:rsid w:val="009C1B3B"/>
    <w:rsid w:val="009C2404"/>
    <w:rsid w:val="009D5656"/>
    <w:rsid w:val="00A01AC2"/>
    <w:rsid w:val="00A0505F"/>
    <w:rsid w:val="00A72084"/>
    <w:rsid w:val="00A74712"/>
    <w:rsid w:val="00A81F52"/>
    <w:rsid w:val="00A82864"/>
    <w:rsid w:val="00A96E47"/>
    <w:rsid w:val="00AA11EA"/>
    <w:rsid w:val="00AA1DFE"/>
    <w:rsid w:val="00AA333C"/>
    <w:rsid w:val="00AA52E8"/>
    <w:rsid w:val="00AA6820"/>
    <w:rsid w:val="00AB2E30"/>
    <w:rsid w:val="00AB584D"/>
    <w:rsid w:val="00AE3025"/>
    <w:rsid w:val="00B31406"/>
    <w:rsid w:val="00B51118"/>
    <w:rsid w:val="00B516EB"/>
    <w:rsid w:val="00B7526F"/>
    <w:rsid w:val="00B82891"/>
    <w:rsid w:val="00BA20F9"/>
    <w:rsid w:val="00BC589C"/>
    <w:rsid w:val="00BC685D"/>
    <w:rsid w:val="00BD41FB"/>
    <w:rsid w:val="00BE6395"/>
    <w:rsid w:val="00C25519"/>
    <w:rsid w:val="00C25870"/>
    <w:rsid w:val="00C31EAD"/>
    <w:rsid w:val="00C35CA7"/>
    <w:rsid w:val="00C43DB7"/>
    <w:rsid w:val="00C5008D"/>
    <w:rsid w:val="00C62D20"/>
    <w:rsid w:val="00C65C53"/>
    <w:rsid w:val="00C7255C"/>
    <w:rsid w:val="00C749F2"/>
    <w:rsid w:val="00C832F7"/>
    <w:rsid w:val="00C85581"/>
    <w:rsid w:val="00CC03F2"/>
    <w:rsid w:val="00CE127D"/>
    <w:rsid w:val="00CE5981"/>
    <w:rsid w:val="00D0313B"/>
    <w:rsid w:val="00D22F3F"/>
    <w:rsid w:val="00D32CB5"/>
    <w:rsid w:val="00D6401B"/>
    <w:rsid w:val="00D7126C"/>
    <w:rsid w:val="00D7219F"/>
    <w:rsid w:val="00D77D58"/>
    <w:rsid w:val="00D82414"/>
    <w:rsid w:val="00DC2B7B"/>
    <w:rsid w:val="00DE4B99"/>
    <w:rsid w:val="00DE63DE"/>
    <w:rsid w:val="00DF10EF"/>
    <w:rsid w:val="00DF4C68"/>
    <w:rsid w:val="00DF4DC4"/>
    <w:rsid w:val="00E120A7"/>
    <w:rsid w:val="00E22259"/>
    <w:rsid w:val="00E475E9"/>
    <w:rsid w:val="00E61EED"/>
    <w:rsid w:val="00E739F9"/>
    <w:rsid w:val="00E80D27"/>
    <w:rsid w:val="00E815CF"/>
    <w:rsid w:val="00E8550A"/>
    <w:rsid w:val="00E865E4"/>
    <w:rsid w:val="00E9143C"/>
    <w:rsid w:val="00EB179A"/>
    <w:rsid w:val="00EB29D7"/>
    <w:rsid w:val="00EC6D4D"/>
    <w:rsid w:val="00EE529B"/>
    <w:rsid w:val="00F10664"/>
    <w:rsid w:val="00F14188"/>
    <w:rsid w:val="00F21581"/>
    <w:rsid w:val="00F21FCB"/>
    <w:rsid w:val="00F3165F"/>
    <w:rsid w:val="00F320DB"/>
    <w:rsid w:val="00F44BFC"/>
    <w:rsid w:val="00F70B1E"/>
    <w:rsid w:val="00F714C5"/>
    <w:rsid w:val="00F75EB7"/>
    <w:rsid w:val="00F77776"/>
    <w:rsid w:val="00F903D7"/>
    <w:rsid w:val="00F947E1"/>
    <w:rsid w:val="00F951B3"/>
    <w:rsid w:val="00FB23D5"/>
    <w:rsid w:val="00FD535F"/>
    <w:rsid w:val="00FD6960"/>
    <w:rsid w:val="00FF34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C5F95"/>
  <w15:chartTrackingRefBased/>
  <w15:docId w15:val="{2D3E5400-512D-4534-A40C-5A47E9D3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template PCJ"/>
    <w:qFormat/>
    <w:rsid w:val="004F6D15"/>
    <w:pPr>
      <w:jc w:val="both"/>
    </w:pPr>
    <w:rPr>
      <w:rFonts w:ascii="Times New Roman" w:hAnsi="Times New Roman"/>
      <w:color w:val="000000" w:themeColor="text1"/>
      <w:sz w:val="22"/>
      <w:lang w:val="en-US"/>
    </w:rPr>
  </w:style>
  <w:style w:type="paragraph" w:styleId="Heading1">
    <w:name w:val="heading 1"/>
    <w:basedOn w:val="Normal"/>
    <w:next w:val="Normal"/>
    <w:link w:val="Heading1Char"/>
    <w:uiPriority w:val="9"/>
    <w:qFormat/>
    <w:rsid w:val="004F6D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6D1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6D15"/>
    <w:pPr>
      <w:keepNext/>
      <w:keepLines/>
      <w:numPr>
        <w:ilvl w:val="2"/>
        <w:numId w:val="6"/>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4F6D15"/>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F6D15"/>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F6D15"/>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F6D15"/>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F6D15"/>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F6D15"/>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D15"/>
    <w:pPr>
      <w:tabs>
        <w:tab w:val="center" w:pos="4536"/>
        <w:tab w:val="right" w:pos="9072"/>
      </w:tabs>
    </w:pPr>
  </w:style>
  <w:style w:type="character" w:customStyle="1" w:styleId="HeaderChar">
    <w:name w:val="Header Char"/>
    <w:basedOn w:val="DefaultParagraphFont"/>
    <w:link w:val="Header"/>
    <w:uiPriority w:val="99"/>
    <w:rsid w:val="004F6D15"/>
    <w:rPr>
      <w:rFonts w:ascii="Times New Roman" w:hAnsi="Times New Roman"/>
      <w:color w:val="000000" w:themeColor="text1"/>
      <w:sz w:val="22"/>
      <w:lang w:val="en-US"/>
    </w:rPr>
  </w:style>
  <w:style w:type="paragraph" w:styleId="Footer">
    <w:name w:val="footer"/>
    <w:basedOn w:val="Normal"/>
    <w:link w:val="FooterChar"/>
    <w:uiPriority w:val="99"/>
    <w:unhideWhenUsed/>
    <w:rsid w:val="003741D9"/>
    <w:pPr>
      <w:tabs>
        <w:tab w:val="center" w:pos="4536"/>
        <w:tab w:val="right" w:pos="9072"/>
      </w:tabs>
    </w:pPr>
  </w:style>
  <w:style w:type="character" w:customStyle="1" w:styleId="FooterChar">
    <w:name w:val="Footer Char"/>
    <w:basedOn w:val="DefaultParagraphFont"/>
    <w:link w:val="Footer"/>
    <w:uiPriority w:val="99"/>
    <w:rsid w:val="003741D9"/>
    <w:rPr>
      <w:lang w:val="en-US"/>
    </w:rPr>
  </w:style>
  <w:style w:type="paragraph" w:styleId="Title">
    <w:name w:val="Title"/>
    <w:basedOn w:val="Normal"/>
    <w:next w:val="Normal"/>
    <w:link w:val="TitleChar"/>
    <w:uiPriority w:val="10"/>
    <w:qFormat/>
    <w:rsid w:val="003741D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1D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741D9"/>
    <w:pPr>
      <w:numPr>
        <w:ilvl w:val="1"/>
      </w:numPr>
      <w:spacing w:after="160"/>
    </w:pPr>
    <w:rPr>
      <w:rFonts w:eastAsiaTheme="minorEastAsia"/>
      <w:color w:val="5A5A5A" w:themeColor="text1" w:themeTint="A5"/>
      <w:spacing w:val="15"/>
      <w:szCs w:val="22"/>
    </w:rPr>
  </w:style>
  <w:style w:type="character" w:customStyle="1" w:styleId="SubtitleChar">
    <w:name w:val="Subtitle Char"/>
    <w:basedOn w:val="DefaultParagraphFont"/>
    <w:link w:val="Subtitle"/>
    <w:uiPriority w:val="11"/>
    <w:rsid w:val="003741D9"/>
    <w:rPr>
      <w:rFonts w:eastAsiaTheme="minorEastAsia"/>
      <w:color w:val="5A5A5A" w:themeColor="text1" w:themeTint="A5"/>
      <w:spacing w:val="15"/>
      <w:sz w:val="22"/>
      <w:szCs w:val="22"/>
      <w:lang w:val="en-US"/>
    </w:rPr>
  </w:style>
  <w:style w:type="character" w:styleId="SubtleEmphasis">
    <w:name w:val="Subtle Emphasis"/>
    <w:basedOn w:val="DefaultParagraphFont"/>
    <w:uiPriority w:val="19"/>
    <w:qFormat/>
    <w:rsid w:val="003741D9"/>
    <w:rPr>
      <w:i/>
      <w:iCs/>
      <w:color w:val="404040" w:themeColor="text1" w:themeTint="BF"/>
    </w:rPr>
  </w:style>
  <w:style w:type="character" w:customStyle="1" w:styleId="Heading2Char">
    <w:name w:val="Heading 2 Char"/>
    <w:basedOn w:val="DefaultParagraphFont"/>
    <w:link w:val="Heading2"/>
    <w:uiPriority w:val="9"/>
    <w:rsid w:val="004F6D15"/>
    <w:rPr>
      <w:rFonts w:asciiTheme="majorHAnsi" w:eastAsiaTheme="majorEastAsia" w:hAnsiTheme="majorHAnsi" w:cstheme="majorBidi"/>
      <w:color w:val="2F5496" w:themeColor="accent1" w:themeShade="BF"/>
      <w:sz w:val="26"/>
      <w:szCs w:val="26"/>
      <w:lang w:val="en-US"/>
    </w:rPr>
  </w:style>
  <w:style w:type="character" w:customStyle="1" w:styleId="Heading1Char">
    <w:name w:val="Heading 1 Char"/>
    <w:basedOn w:val="DefaultParagraphFont"/>
    <w:link w:val="Heading1"/>
    <w:uiPriority w:val="9"/>
    <w:rsid w:val="004F6D15"/>
    <w:rPr>
      <w:rFonts w:asciiTheme="majorHAnsi" w:eastAsiaTheme="majorEastAsia" w:hAnsiTheme="majorHAnsi" w:cstheme="majorBidi"/>
      <w:color w:val="2F5496" w:themeColor="accent1" w:themeShade="BF"/>
      <w:sz w:val="32"/>
      <w:szCs w:val="32"/>
      <w:lang w:val="en-US"/>
    </w:rPr>
  </w:style>
  <w:style w:type="character" w:styleId="PageNumber">
    <w:name w:val="page number"/>
    <w:basedOn w:val="DefaultParagraphFont"/>
    <w:uiPriority w:val="99"/>
    <w:semiHidden/>
    <w:unhideWhenUsed/>
    <w:rsid w:val="001A70AB"/>
  </w:style>
  <w:style w:type="table" w:styleId="TableGrid">
    <w:name w:val="Table Grid"/>
    <w:basedOn w:val="TableNormal"/>
    <w:uiPriority w:val="39"/>
    <w:rsid w:val="004F6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830520"/>
    <w:rPr>
      <w:color w:val="0000FF"/>
      <w:u w:val="none"/>
    </w:rPr>
  </w:style>
  <w:style w:type="character" w:customStyle="1" w:styleId="Mentionnonrsolue1">
    <w:name w:val="Mention non résolue1"/>
    <w:basedOn w:val="DefaultParagraphFont"/>
    <w:uiPriority w:val="99"/>
    <w:semiHidden/>
    <w:unhideWhenUsed/>
    <w:rsid w:val="00A74712"/>
    <w:rPr>
      <w:color w:val="605E5C"/>
      <w:shd w:val="clear" w:color="auto" w:fill="E1DFDD"/>
    </w:rPr>
  </w:style>
  <w:style w:type="character" w:styleId="FollowedHyperlink">
    <w:name w:val="FollowedHyperlink"/>
    <w:basedOn w:val="DefaultParagraphFont"/>
    <w:uiPriority w:val="99"/>
    <w:semiHidden/>
    <w:unhideWhenUsed/>
    <w:rsid w:val="00A74712"/>
    <w:rPr>
      <w:color w:val="954F72" w:themeColor="followedHyperlink"/>
      <w:u w:val="single"/>
    </w:rPr>
  </w:style>
  <w:style w:type="character" w:customStyle="1" w:styleId="Heading3Char">
    <w:name w:val="Heading 3 Char"/>
    <w:basedOn w:val="DefaultParagraphFont"/>
    <w:link w:val="Heading3"/>
    <w:uiPriority w:val="9"/>
    <w:rsid w:val="004F6D15"/>
    <w:rPr>
      <w:rFonts w:asciiTheme="majorHAnsi" w:eastAsiaTheme="majorEastAsia" w:hAnsiTheme="majorHAnsi" w:cstheme="majorBidi"/>
      <w:color w:val="1F3763" w:themeColor="accent1" w:themeShade="7F"/>
      <w:lang w:val="en-US"/>
    </w:rPr>
  </w:style>
  <w:style w:type="character" w:customStyle="1" w:styleId="Heading4Char">
    <w:name w:val="Heading 4 Char"/>
    <w:basedOn w:val="DefaultParagraphFont"/>
    <w:link w:val="Heading4"/>
    <w:uiPriority w:val="9"/>
    <w:semiHidden/>
    <w:rsid w:val="004F6D15"/>
    <w:rPr>
      <w:rFonts w:asciiTheme="majorHAnsi" w:eastAsiaTheme="majorEastAsia" w:hAnsiTheme="majorHAnsi" w:cstheme="majorBidi"/>
      <w:i/>
      <w:iCs/>
      <w:color w:val="2F5496" w:themeColor="accent1" w:themeShade="BF"/>
      <w:sz w:val="22"/>
      <w:lang w:val="en-US"/>
    </w:rPr>
  </w:style>
  <w:style w:type="character" w:customStyle="1" w:styleId="Heading5Char">
    <w:name w:val="Heading 5 Char"/>
    <w:basedOn w:val="DefaultParagraphFont"/>
    <w:link w:val="Heading5"/>
    <w:uiPriority w:val="9"/>
    <w:semiHidden/>
    <w:rsid w:val="004F6D15"/>
    <w:rPr>
      <w:rFonts w:asciiTheme="majorHAnsi" w:eastAsiaTheme="majorEastAsia" w:hAnsiTheme="majorHAnsi" w:cstheme="majorBidi"/>
      <w:color w:val="2F5496" w:themeColor="accent1" w:themeShade="BF"/>
      <w:sz w:val="22"/>
      <w:lang w:val="en-US"/>
    </w:rPr>
  </w:style>
  <w:style w:type="character" w:customStyle="1" w:styleId="Heading6Char">
    <w:name w:val="Heading 6 Char"/>
    <w:basedOn w:val="DefaultParagraphFont"/>
    <w:link w:val="Heading6"/>
    <w:uiPriority w:val="9"/>
    <w:semiHidden/>
    <w:rsid w:val="004F6D15"/>
    <w:rPr>
      <w:rFonts w:asciiTheme="majorHAnsi" w:eastAsiaTheme="majorEastAsia" w:hAnsiTheme="majorHAnsi" w:cstheme="majorBidi"/>
      <w:color w:val="1F3763" w:themeColor="accent1" w:themeShade="7F"/>
      <w:sz w:val="22"/>
      <w:lang w:val="en-US"/>
    </w:rPr>
  </w:style>
  <w:style w:type="character" w:customStyle="1" w:styleId="Heading7Char">
    <w:name w:val="Heading 7 Char"/>
    <w:basedOn w:val="DefaultParagraphFont"/>
    <w:link w:val="Heading7"/>
    <w:uiPriority w:val="9"/>
    <w:semiHidden/>
    <w:rsid w:val="004F6D15"/>
    <w:rPr>
      <w:rFonts w:asciiTheme="majorHAnsi" w:eastAsiaTheme="majorEastAsia" w:hAnsiTheme="majorHAnsi" w:cstheme="majorBidi"/>
      <w:i/>
      <w:iCs/>
      <w:color w:val="1F3763" w:themeColor="accent1" w:themeShade="7F"/>
      <w:sz w:val="22"/>
      <w:lang w:val="en-US"/>
    </w:rPr>
  </w:style>
  <w:style w:type="character" w:customStyle="1" w:styleId="Heading8Char">
    <w:name w:val="Heading 8 Char"/>
    <w:basedOn w:val="DefaultParagraphFont"/>
    <w:link w:val="Heading8"/>
    <w:uiPriority w:val="9"/>
    <w:semiHidden/>
    <w:rsid w:val="004F6D15"/>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4F6D15"/>
    <w:rPr>
      <w:rFonts w:asciiTheme="majorHAnsi" w:eastAsiaTheme="majorEastAsia" w:hAnsiTheme="majorHAnsi" w:cstheme="majorBidi"/>
      <w:i/>
      <w:iCs/>
      <w:color w:val="272727" w:themeColor="text1" w:themeTint="D8"/>
      <w:sz w:val="21"/>
      <w:szCs w:val="21"/>
      <w:lang w:val="en-US"/>
    </w:rPr>
  </w:style>
  <w:style w:type="paragraph" w:customStyle="1" w:styleId="Style1PCI">
    <w:name w:val="Style1_PCI"/>
    <w:basedOn w:val="Heading1"/>
    <w:qFormat/>
    <w:rsid w:val="00414B24"/>
    <w:pPr>
      <w:spacing w:before="480" w:after="240"/>
    </w:pPr>
    <w:rPr>
      <w:rFonts w:asciiTheme="minorHAnsi" w:hAnsiTheme="minorHAnsi" w:cstheme="minorHAnsi"/>
      <w:b/>
      <w:color w:val="000000" w:themeColor="text1"/>
    </w:rPr>
  </w:style>
  <w:style w:type="character" w:styleId="LineNumber">
    <w:name w:val="line number"/>
    <w:basedOn w:val="DefaultParagraphFont"/>
    <w:uiPriority w:val="99"/>
    <w:semiHidden/>
    <w:unhideWhenUsed/>
    <w:rsid w:val="006E1F04"/>
  </w:style>
  <w:style w:type="character" w:styleId="CommentReference">
    <w:name w:val="annotation reference"/>
    <w:basedOn w:val="DefaultParagraphFont"/>
    <w:uiPriority w:val="99"/>
    <w:semiHidden/>
    <w:unhideWhenUsed/>
    <w:rsid w:val="00705110"/>
    <w:rPr>
      <w:sz w:val="16"/>
      <w:szCs w:val="16"/>
    </w:rPr>
  </w:style>
  <w:style w:type="paragraph" w:styleId="CommentText">
    <w:name w:val="annotation text"/>
    <w:basedOn w:val="Normal"/>
    <w:link w:val="CommentTextChar"/>
    <w:uiPriority w:val="99"/>
    <w:unhideWhenUsed/>
    <w:rsid w:val="00705110"/>
    <w:rPr>
      <w:sz w:val="20"/>
      <w:szCs w:val="20"/>
    </w:rPr>
  </w:style>
  <w:style w:type="character" w:customStyle="1" w:styleId="CommentTextChar">
    <w:name w:val="Comment Text Char"/>
    <w:basedOn w:val="DefaultParagraphFont"/>
    <w:link w:val="CommentText"/>
    <w:uiPriority w:val="99"/>
    <w:rsid w:val="00705110"/>
    <w:rPr>
      <w:sz w:val="20"/>
      <w:szCs w:val="20"/>
      <w:lang w:val="en-US"/>
    </w:rPr>
  </w:style>
  <w:style w:type="paragraph" w:styleId="CommentSubject">
    <w:name w:val="annotation subject"/>
    <w:basedOn w:val="CommentText"/>
    <w:next w:val="CommentText"/>
    <w:link w:val="CommentSubjectChar"/>
    <w:uiPriority w:val="99"/>
    <w:semiHidden/>
    <w:unhideWhenUsed/>
    <w:rsid w:val="00705110"/>
    <w:rPr>
      <w:b/>
      <w:bCs/>
    </w:rPr>
  </w:style>
  <w:style w:type="character" w:customStyle="1" w:styleId="CommentSubjectChar">
    <w:name w:val="Comment Subject Char"/>
    <w:basedOn w:val="CommentTextChar"/>
    <w:link w:val="CommentSubject"/>
    <w:uiPriority w:val="99"/>
    <w:semiHidden/>
    <w:rsid w:val="00705110"/>
    <w:rPr>
      <w:b/>
      <w:bCs/>
      <w:sz w:val="20"/>
      <w:szCs w:val="20"/>
      <w:lang w:val="en-US"/>
    </w:rPr>
  </w:style>
  <w:style w:type="paragraph" w:styleId="BalloonText">
    <w:name w:val="Balloon Text"/>
    <w:basedOn w:val="Normal"/>
    <w:link w:val="BalloonTextChar"/>
    <w:uiPriority w:val="99"/>
    <w:semiHidden/>
    <w:unhideWhenUsed/>
    <w:rsid w:val="00705110"/>
    <w:rPr>
      <w:sz w:val="18"/>
      <w:szCs w:val="18"/>
    </w:rPr>
  </w:style>
  <w:style w:type="character" w:customStyle="1" w:styleId="BalloonTextChar">
    <w:name w:val="Balloon Text Char"/>
    <w:basedOn w:val="DefaultParagraphFont"/>
    <w:link w:val="BalloonText"/>
    <w:uiPriority w:val="99"/>
    <w:semiHidden/>
    <w:rsid w:val="00705110"/>
    <w:rPr>
      <w:rFonts w:ascii="Times New Roman" w:hAnsi="Times New Roman" w:cs="Times New Roman"/>
      <w:sz w:val="18"/>
      <w:szCs w:val="18"/>
      <w:lang w:val="en-US"/>
    </w:rPr>
  </w:style>
  <w:style w:type="paragraph" w:styleId="TOC1">
    <w:name w:val="toc 1"/>
    <w:basedOn w:val="Normal"/>
    <w:next w:val="Normal"/>
    <w:autoRedefine/>
    <w:uiPriority w:val="39"/>
    <w:unhideWhenUsed/>
    <w:rsid w:val="000A54AB"/>
    <w:pPr>
      <w:spacing w:after="100"/>
    </w:pPr>
    <w:rPr>
      <w:rFonts w:ascii="Calibri" w:hAnsi="Calibri"/>
      <w:color w:val="76ADC9"/>
      <w:sz w:val="24"/>
    </w:rPr>
  </w:style>
  <w:style w:type="paragraph" w:customStyle="1" w:styleId="PCJSection">
    <w:name w:val="PCJ Section"/>
    <w:next w:val="PCJtext"/>
    <w:qFormat/>
    <w:rsid w:val="004F6D15"/>
    <w:pPr>
      <w:keepNext/>
      <w:spacing w:before="280" w:after="280"/>
      <w:jc w:val="center"/>
    </w:pPr>
    <w:rPr>
      <w:b/>
      <w:color w:val="000000" w:themeColor="text1"/>
      <w:lang w:val="en-US"/>
    </w:rPr>
  </w:style>
  <w:style w:type="paragraph" w:customStyle="1" w:styleId="PCJtext">
    <w:name w:val="PCJ text"/>
    <w:qFormat/>
    <w:rsid w:val="004F6D15"/>
    <w:pPr>
      <w:spacing w:after="260"/>
      <w:ind w:firstLine="318"/>
      <w:contextualSpacing/>
      <w:jc w:val="both"/>
    </w:pPr>
    <w:rPr>
      <w:rFonts w:eastAsia="Times New Roman" w:cstheme="minorHAnsi"/>
      <w:noProof/>
      <w:sz w:val="21"/>
      <w:lang w:val="en-US" w:eastAsia="fr-FR"/>
    </w:rPr>
  </w:style>
  <w:style w:type="paragraph" w:styleId="TOC2">
    <w:name w:val="toc 2"/>
    <w:basedOn w:val="Normal"/>
    <w:next w:val="Normal"/>
    <w:autoRedefine/>
    <w:uiPriority w:val="39"/>
    <w:unhideWhenUsed/>
    <w:rsid w:val="000A54AB"/>
    <w:pPr>
      <w:spacing w:after="100"/>
      <w:ind w:left="220"/>
    </w:pPr>
    <w:rPr>
      <w:rFonts w:ascii="Calibri" w:hAnsi="Calibri"/>
      <w:color w:val="76ADC9"/>
      <w:sz w:val="24"/>
    </w:rPr>
  </w:style>
  <w:style w:type="paragraph" w:customStyle="1" w:styleId="PCJcaptionfigure">
    <w:name w:val="PCJ caption figure"/>
    <w:basedOn w:val="PCJtext"/>
    <w:qFormat/>
    <w:rsid w:val="00A82864"/>
    <w:pPr>
      <w:spacing w:after="240"/>
      <w:ind w:left="851" w:right="851" w:firstLine="0"/>
    </w:pPr>
    <w:rPr>
      <w:sz w:val="18"/>
    </w:rPr>
  </w:style>
  <w:style w:type="paragraph" w:customStyle="1" w:styleId="PCJFigure">
    <w:name w:val="PCJ Figure"/>
    <w:next w:val="PCJtext"/>
    <w:qFormat/>
    <w:rsid w:val="004F6D15"/>
    <w:pPr>
      <w:spacing w:before="240" w:after="240"/>
      <w:jc w:val="center"/>
    </w:pPr>
    <w:rPr>
      <w:rFonts w:eastAsia="Times New Roman" w:cstheme="minorHAnsi"/>
      <w:noProof/>
      <w:sz w:val="21"/>
      <w:lang w:eastAsia="fr-FR"/>
    </w:rPr>
  </w:style>
  <w:style w:type="character" w:customStyle="1" w:styleId="Mentionnonrsolue2">
    <w:name w:val="Mention non résolue2"/>
    <w:basedOn w:val="DefaultParagraphFont"/>
    <w:uiPriority w:val="99"/>
    <w:semiHidden/>
    <w:unhideWhenUsed/>
    <w:rsid w:val="004F6D15"/>
    <w:rPr>
      <w:color w:val="605E5C"/>
      <w:shd w:val="clear" w:color="auto" w:fill="E1DFDD"/>
    </w:rPr>
  </w:style>
  <w:style w:type="paragraph" w:customStyle="1" w:styleId="PCJtablelegend">
    <w:name w:val="PCJ table legend"/>
    <w:basedOn w:val="PCJtext"/>
    <w:next w:val="PCJtext"/>
    <w:qFormat/>
    <w:rsid w:val="00A82864"/>
    <w:pPr>
      <w:spacing w:before="240" w:after="240"/>
      <w:ind w:left="851" w:right="851" w:firstLine="0"/>
    </w:pPr>
    <w:rPr>
      <w:color w:val="000000" w:themeColor="text1"/>
      <w:sz w:val="18"/>
    </w:rPr>
  </w:style>
  <w:style w:type="paragraph" w:customStyle="1" w:styleId="PCJTable">
    <w:name w:val="PCJ Table"/>
    <w:next w:val="PCJtext"/>
    <w:qFormat/>
    <w:rsid w:val="004F6D15"/>
    <w:pPr>
      <w:widowControl w:val="0"/>
    </w:pPr>
    <w:rPr>
      <w:rFonts w:cstheme="minorHAnsi"/>
      <w:noProof/>
      <w:color w:val="000000" w:themeColor="text1"/>
      <w:sz w:val="16"/>
      <w:lang w:val="en-US"/>
    </w:rPr>
  </w:style>
  <w:style w:type="paragraph" w:customStyle="1" w:styleId="PCJEquation">
    <w:name w:val="PCJ Equation"/>
    <w:basedOn w:val="PCJtext"/>
    <w:qFormat/>
    <w:rsid w:val="004F6D15"/>
    <w:pPr>
      <w:numPr>
        <w:numId w:val="5"/>
      </w:numPr>
      <w:tabs>
        <w:tab w:val="center" w:pos="4678"/>
      </w:tabs>
      <w:spacing w:before="240" w:after="240"/>
    </w:pPr>
  </w:style>
  <w:style w:type="paragraph" w:customStyle="1" w:styleId="PCJReference">
    <w:name w:val="PCJ Reference"/>
    <w:basedOn w:val="PCJtext"/>
    <w:qFormat/>
    <w:rsid w:val="004F6D15"/>
    <w:pPr>
      <w:spacing w:after="220"/>
      <w:ind w:left="289" w:hanging="289"/>
    </w:pPr>
  </w:style>
  <w:style w:type="paragraph" w:customStyle="1" w:styleId="PCJSubsection">
    <w:name w:val="PCJ Subsection"/>
    <w:basedOn w:val="PCJtext"/>
    <w:next w:val="PCJtext"/>
    <w:qFormat/>
    <w:rsid w:val="004F6D15"/>
    <w:pPr>
      <w:keepNext/>
      <w:spacing w:after="0"/>
      <w:ind w:firstLine="0"/>
    </w:pPr>
    <w:rPr>
      <w:b/>
    </w:rPr>
  </w:style>
  <w:style w:type="paragraph" w:customStyle="1" w:styleId="PCJnotetable">
    <w:name w:val="PCJ note table"/>
    <w:link w:val="PCJnotetableCar"/>
    <w:qFormat/>
    <w:rsid w:val="004F6D15"/>
    <w:pPr>
      <w:spacing w:after="240"/>
      <w:contextualSpacing/>
      <w:jc w:val="center"/>
    </w:pPr>
    <w:rPr>
      <w:rFonts w:eastAsia="Times New Roman" w:cstheme="minorHAnsi"/>
      <w:noProof/>
      <w:sz w:val="18"/>
      <w:lang w:val="en-US"/>
    </w:rPr>
  </w:style>
  <w:style w:type="character" w:customStyle="1" w:styleId="PCJnotetableCar">
    <w:name w:val="PCJ note table Car"/>
    <w:basedOn w:val="DefaultParagraphFont"/>
    <w:link w:val="PCJnotetable"/>
    <w:rsid w:val="004F6D15"/>
    <w:rPr>
      <w:rFonts w:eastAsia="Times New Roman" w:cstheme="minorHAnsi"/>
      <w:noProof/>
      <w:sz w:val="18"/>
      <w:lang w:val="en-US"/>
    </w:rPr>
  </w:style>
  <w:style w:type="table" w:styleId="PlainTable4">
    <w:name w:val="Plain Table 4"/>
    <w:basedOn w:val="TableNormal"/>
    <w:uiPriority w:val="44"/>
    <w:rsid w:val="004F6D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CJSub-subsection">
    <w:name w:val="PCJ Sub-subsection"/>
    <w:basedOn w:val="PCJtext"/>
    <w:next w:val="PCJtext"/>
    <w:qFormat/>
    <w:rsid w:val="004F6D15"/>
    <w:pPr>
      <w:keepNext/>
      <w:spacing w:before="120" w:after="0"/>
      <w:ind w:firstLine="0"/>
    </w:pPr>
    <w:rPr>
      <w:i/>
    </w:rPr>
  </w:style>
  <w:style w:type="character" w:styleId="PlaceholderText">
    <w:name w:val="Placeholder Text"/>
    <w:basedOn w:val="DefaultParagraphFont"/>
    <w:uiPriority w:val="99"/>
    <w:semiHidden/>
    <w:rsid w:val="004F6D15"/>
    <w:rPr>
      <w:color w:val="808080"/>
    </w:rPr>
  </w:style>
  <w:style w:type="paragraph" w:styleId="TOCHeading">
    <w:name w:val="TOC Heading"/>
    <w:basedOn w:val="Heading1"/>
    <w:next w:val="Normal"/>
    <w:uiPriority w:val="39"/>
    <w:unhideWhenUsed/>
    <w:qFormat/>
    <w:rsid w:val="00A96E47"/>
    <w:pPr>
      <w:spacing w:line="259" w:lineRule="auto"/>
      <w:jc w:val="left"/>
      <w:outlineLvl w:val="9"/>
    </w:pPr>
    <w:rPr>
      <w:lang w:val="fr-FR" w:eastAsia="fr-FR"/>
    </w:rPr>
  </w:style>
  <w:style w:type="paragraph" w:styleId="NormalWeb">
    <w:name w:val="Normal (Web)"/>
    <w:basedOn w:val="Normal"/>
    <w:uiPriority w:val="99"/>
    <w:unhideWhenUsed/>
    <w:rsid w:val="00CE5981"/>
    <w:pPr>
      <w:spacing w:before="100" w:beforeAutospacing="1" w:after="100" w:afterAutospacing="1"/>
      <w:jc w:val="left"/>
    </w:pPr>
    <w:rPr>
      <w:rFonts w:eastAsia="Times New Roman" w:cs="Times New Roman"/>
      <w:color w:val="auto"/>
      <w:sz w:val="24"/>
      <w:lang w:val="fr-FR" w:eastAsia="fr-FR"/>
    </w:rPr>
  </w:style>
  <w:style w:type="character" w:styleId="UnresolvedMention">
    <w:name w:val="Unresolved Mention"/>
    <w:basedOn w:val="DefaultParagraphFont"/>
    <w:uiPriority w:val="99"/>
    <w:semiHidden/>
    <w:unhideWhenUsed/>
    <w:rsid w:val="00866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704">
      <w:bodyDiv w:val="1"/>
      <w:marLeft w:val="0"/>
      <w:marRight w:val="0"/>
      <w:marTop w:val="0"/>
      <w:marBottom w:val="0"/>
      <w:divBdr>
        <w:top w:val="none" w:sz="0" w:space="0" w:color="auto"/>
        <w:left w:val="none" w:sz="0" w:space="0" w:color="auto"/>
        <w:bottom w:val="none" w:sz="0" w:space="0" w:color="auto"/>
        <w:right w:val="none" w:sz="0" w:space="0" w:color="auto"/>
      </w:divBdr>
      <w:divsChild>
        <w:div w:id="906963394">
          <w:marLeft w:val="480"/>
          <w:marRight w:val="0"/>
          <w:marTop w:val="0"/>
          <w:marBottom w:val="0"/>
          <w:divBdr>
            <w:top w:val="none" w:sz="0" w:space="0" w:color="auto"/>
            <w:left w:val="none" w:sz="0" w:space="0" w:color="auto"/>
            <w:bottom w:val="none" w:sz="0" w:space="0" w:color="auto"/>
            <w:right w:val="none" w:sz="0" w:space="0" w:color="auto"/>
          </w:divBdr>
          <w:divsChild>
            <w:div w:id="1498032409">
              <w:marLeft w:val="0"/>
              <w:marRight w:val="0"/>
              <w:marTop w:val="0"/>
              <w:marBottom w:val="0"/>
              <w:divBdr>
                <w:top w:val="none" w:sz="0" w:space="0" w:color="auto"/>
                <w:left w:val="none" w:sz="0" w:space="0" w:color="auto"/>
                <w:bottom w:val="none" w:sz="0" w:space="0" w:color="auto"/>
                <w:right w:val="none" w:sz="0" w:space="0" w:color="auto"/>
              </w:divBdr>
            </w:div>
            <w:div w:id="849680067">
              <w:marLeft w:val="0"/>
              <w:marRight w:val="0"/>
              <w:marTop w:val="0"/>
              <w:marBottom w:val="0"/>
              <w:divBdr>
                <w:top w:val="none" w:sz="0" w:space="0" w:color="auto"/>
                <w:left w:val="none" w:sz="0" w:space="0" w:color="auto"/>
                <w:bottom w:val="none" w:sz="0" w:space="0" w:color="auto"/>
                <w:right w:val="none" w:sz="0" w:space="0" w:color="auto"/>
              </w:divBdr>
            </w:div>
            <w:div w:id="1486779733">
              <w:marLeft w:val="0"/>
              <w:marRight w:val="0"/>
              <w:marTop w:val="0"/>
              <w:marBottom w:val="0"/>
              <w:divBdr>
                <w:top w:val="none" w:sz="0" w:space="0" w:color="auto"/>
                <w:left w:val="none" w:sz="0" w:space="0" w:color="auto"/>
                <w:bottom w:val="none" w:sz="0" w:space="0" w:color="auto"/>
                <w:right w:val="none" w:sz="0" w:space="0" w:color="auto"/>
              </w:divBdr>
            </w:div>
            <w:div w:id="17780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262289">
      <w:bodyDiv w:val="1"/>
      <w:marLeft w:val="0"/>
      <w:marRight w:val="0"/>
      <w:marTop w:val="0"/>
      <w:marBottom w:val="0"/>
      <w:divBdr>
        <w:top w:val="none" w:sz="0" w:space="0" w:color="auto"/>
        <w:left w:val="none" w:sz="0" w:space="0" w:color="auto"/>
        <w:bottom w:val="none" w:sz="0" w:space="0" w:color="auto"/>
        <w:right w:val="none" w:sz="0" w:space="0" w:color="auto"/>
      </w:divBdr>
      <w:divsChild>
        <w:div w:id="1555653984">
          <w:marLeft w:val="480"/>
          <w:marRight w:val="0"/>
          <w:marTop w:val="0"/>
          <w:marBottom w:val="0"/>
          <w:divBdr>
            <w:top w:val="none" w:sz="0" w:space="0" w:color="auto"/>
            <w:left w:val="none" w:sz="0" w:space="0" w:color="auto"/>
            <w:bottom w:val="none" w:sz="0" w:space="0" w:color="auto"/>
            <w:right w:val="none" w:sz="0" w:space="0" w:color="auto"/>
          </w:divBdr>
          <w:divsChild>
            <w:div w:id="533423331">
              <w:marLeft w:val="0"/>
              <w:marRight w:val="0"/>
              <w:marTop w:val="0"/>
              <w:marBottom w:val="0"/>
              <w:divBdr>
                <w:top w:val="none" w:sz="0" w:space="0" w:color="auto"/>
                <w:left w:val="none" w:sz="0" w:space="0" w:color="auto"/>
                <w:bottom w:val="none" w:sz="0" w:space="0" w:color="auto"/>
                <w:right w:val="none" w:sz="0" w:space="0" w:color="auto"/>
              </w:divBdr>
            </w:div>
            <w:div w:id="191843101">
              <w:marLeft w:val="0"/>
              <w:marRight w:val="0"/>
              <w:marTop w:val="0"/>
              <w:marBottom w:val="0"/>
              <w:divBdr>
                <w:top w:val="none" w:sz="0" w:space="0" w:color="auto"/>
                <w:left w:val="none" w:sz="0" w:space="0" w:color="auto"/>
                <w:bottom w:val="none" w:sz="0" w:space="0" w:color="auto"/>
                <w:right w:val="none" w:sz="0" w:space="0" w:color="auto"/>
              </w:divBdr>
            </w:div>
            <w:div w:id="1125659549">
              <w:marLeft w:val="0"/>
              <w:marRight w:val="0"/>
              <w:marTop w:val="0"/>
              <w:marBottom w:val="0"/>
              <w:divBdr>
                <w:top w:val="none" w:sz="0" w:space="0" w:color="auto"/>
                <w:left w:val="none" w:sz="0" w:space="0" w:color="auto"/>
                <w:bottom w:val="none" w:sz="0" w:space="0" w:color="auto"/>
                <w:right w:val="none" w:sz="0" w:space="0" w:color="auto"/>
              </w:divBdr>
            </w:div>
            <w:div w:id="830222591">
              <w:marLeft w:val="0"/>
              <w:marRight w:val="0"/>
              <w:marTop w:val="0"/>
              <w:marBottom w:val="0"/>
              <w:divBdr>
                <w:top w:val="none" w:sz="0" w:space="0" w:color="auto"/>
                <w:left w:val="none" w:sz="0" w:space="0" w:color="auto"/>
                <w:bottom w:val="none" w:sz="0" w:space="0" w:color="auto"/>
                <w:right w:val="none" w:sz="0" w:space="0" w:color="auto"/>
              </w:divBdr>
            </w:div>
            <w:div w:id="86910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81792">
      <w:bodyDiv w:val="1"/>
      <w:marLeft w:val="0"/>
      <w:marRight w:val="0"/>
      <w:marTop w:val="0"/>
      <w:marBottom w:val="0"/>
      <w:divBdr>
        <w:top w:val="none" w:sz="0" w:space="0" w:color="auto"/>
        <w:left w:val="none" w:sz="0" w:space="0" w:color="auto"/>
        <w:bottom w:val="none" w:sz="0" w:space="0" w:color="auto"/>
        <w:right w:val="none" w:sz="0" w:space="0" w:color="auto"/>
      </w:divBdr>
    </w:div>
    <w:div w:id="862012785">
      <w:bodyDiv w:val="1"/>
      <w:marLeft w:val="0"/>
      <w:marRight w:val="0"/>
      <w:marTop w:val="0"/>
      <w:marBottom w:val="0"/>
      <w:divBdr>
        <w:top w:val="none" w:sz="0" w:space="0" w:color="auto"/>
        <w:left w:val="none" w:sz="0" w:space="0" w:color="auto"/>
        <w:bottom w:val="none" w:sz="0" w:space="0" w:color="auto"/>
        <w:right w:val="none" w:sz="0" w:space="0" w:color="auto"/>
      </w:divBdr>
    </w:div>
    <w:div w:id="948437561">
      <w:bodyDiv w:val="1"/>
      <w:marLeft w:val="0"/>
      <w:marRight w:val="0"/>
      <w:marTop w:val="0"/>
      <w:marBottom w:val="0"/>
      <w:divBdr>
        <w:top w:val="none" w:sz="0" w:space="0" w:color="auto"/>
        <w:left w:val="none" w:sz="0" w:space="0" w:color="auto"/>
        <w:bottom w:val="none" w:sz="0" w:space="0" w:color="auto"/>
        <w:right w:val="none" w:sz="0" w:space="0" w:color="auto"/>
      </w:divBdr>
    </w:div>
    <w:div w:id="1468935698">
      <w:bodyDiv w:val="1"/>
      <w:marLeft w:val="0"/>
      <w:marRight w:val="0"/>
      <w:marTop w:val="0"/>
      <w:marBottom w:val="0"/>
      <w:divBdr>
        <w:top w:val="none" w:sz="0" w:space="0" w:color="auto"/>
        <w:left w:val="none" w:sz="0" w:space="0" w:color="auto"/>
        <w:bottom w:val="none" w:sz="0" w:space="0" w:color="auto"/>
        <w:right w:val="none" w:sz="0" w:space="0" w:color="auto"/>
      </w:divBdr>
    </w:div>
    <w:div w:id="1472941297">
      <w:bodyDiv w:val="1"/>
      <w:marLeft w:val="0"/>
      <w:marRight w:val="0"/>
      <w:marTop w:val="0"/>
      <w:marBottom w:val="0"/>
      <w:divBdr>
        <w:top w:val="none" w:sz="0" w:space="0" w:color="auto"/>
        <w:left w:val="none" w:sz="0" w:space="0" w:color="auto"/>
        <w:bottom w:val="none" w:sz="0" w:space="0" w:color="auto"/>
        <w:right w:val="none" w:sz="0" w:space="0" w:color="auto"/>
      </w:divBdr>
    </w:div>
    <w:div w:id="1486777672">
      <w:bodyDiv w:val="1"/>
      <w:marLeft w:val="0"/>
      <w:marRight w:val="0"/>
      <w:marTop w:val="0"/>
      <w:marBottom w:val="0"/>
      <w:divBdr>
        <w:top w:val="none" w:sz="0" w:space="0" w:color="auto"/>
        <w:left w:val="none" w:sz="0" w:space="0" w:color="auto"/>
        <w:bottom w:val="none" w:sz="0" w:space="0" w:color="auto"/>
        <w:right w:val="none" w:sz="0" w:space="0" w:color="auto"/>
      </w:divBdr>
      <w:divsChild>
        <w:div w:id="1825466616">
          <w:marLeft w:val="0"/>
          <w:marRight w:val="0"/>
          <w:marTop w:val="0"/>
          <w:marBottom w:val="0"/>
          <w:divBdr>
            <w:top w:val="none" w:sz="0" w:space="0" w:color="auto"/>
            <w:left w:val="none" w:sz="0" w:space="0" w:color="auto"/>
            <w:bottom w:val="none" w:sz="0" w:space="0" w:color="auto"/>
            <w:right w:val="none" w:sz="0" w:space="0" w:color="auto"/>
          </w:divBdr>
          <w:divsChild>
            <w:div w:id="1383405506">
              <w:marLeft w:val="0"/>
              <w:marRight w:val="0"/>
              <w:marTop w:val="0"/>
              <w:marBottom w:val="0"/>
              <w:divBdr>
                <w:top w:val="none" w:sz="0" w:space="0" w:color="auto"/>
                <w:left w:val="none" w:sz="0" w:space="0" w:color="auto"/>
                <w:bottom w:val="none" w:sz="0" w:space="0" w:color="auto"/>
                <w:right w:val="none" w:sz="0" w:space="0" w:color="auto"/>
              </w:divBdr>
              <w:divsChild>
                <w:div w:id="1166361156">
                  <w:marLeft w:val="0"/>
                  <w:marRight w:val="0"/>
                  <w:marTop w:val="0"/>
                  <w:marBottom w:val="0"/>
                  <w:divBdr>
                    <w:top w:val="none" w:sz="0" w:space="0" w:color="auto"/>
                    <w:left w:val="none" w:sz="0" w:space="0" w:color="auto"/>
                    <w:bottom w:val="none" w:sz="0" w:space="0" w:color="auto"/>
                    <w:right w:val="none" w:sz="0" w:space="0" w:color="auto"/>
                  </w:divBdr>
                  <w:divsChild>
                    <w:div w:id="724109286">
                      <w:marLeft w:val="0"/>
                      <w:marRight w:val="0"/>
                      <w:marTop w:val="0"/>
                      <w:marBottom w:val="0"/>
                      <w:divBdr>
                        <w:top w:val="none" w:sz="0" w:space="0" w:color="auto"/>
                        <w:left w:val="none" w:sz="0" w:space="0" w:color="auto"/>
                        <w:bottom w:val="none" w:sz="0" w:space="0" w:color="auto"/>
                        <w:right w:val="none" w:sz="0" w:space="0" w:color="auto"/>
                      </w:divBdr>
                      <w:divsChild>
                        <w:div w:id="1158616587">
                          <w:marLeft w:val="0"/>
                          <w:marRight w:val="0"/>
                          <w:marTop w:val="0"/>
                          <w:marBottom w:val="0"/>
                          <w:divBdr>
                            <w:top w:val="none" w:sz="0" w:space="0" w:color="auto"/>
                            <w:left w:val="none" w:sz="0" w:space="0" w:color="auto"/>
                            <w:bottom w:val="none" w:sz="0" w:space="0" w:color="auto"/>
                            <w:right w:val="none" w:sz="0" w:space="0" w:color="auto"/>
                          </w:divBdr>
                          <w:divsChild>
                            <w:div w:id="254824515">
                              <w:marLeft w:val="0"/>
                              <w:marRight w:val="0"/>
                              <w:marTop w:val="0"/>
                              <w:marBottom w:val="0"/>
                              <w:divBdr>
                                <w:top w:val="none" w:sz="0" w:space="0" w:color="auto"/>
                                <w:left w:val="none" w:sz="0" w:space="0" w:color="auto"/>
                                <w:bottom w:val="none" w:sz="0" w:space="0" w:color="auto"/>
                                <w:right w:val="none" w:sz="0" w:space="0" w:color="auto"/>
                              </w:divBdr>
                              <w:divsChild>
                                <w:div w:id="109845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939289">
                      <w:marLeft w:val="0"/>
                      <w:marRight w:val="0"/>
                      <w:marTop w:val="0"/>
                      <w:marBottom w:val="0"/>
                      <w:divBdr>
                        <w:top w:val="none" w:sz="0" w:space="0" w:color="auto"/>
                        <w:left w:val="none" w:sz="0" w:space="0" w:color="auto"/>
                        <w:bottom w:val="none" w:sz="0" w:space="0" w:color="auto"/>
                        <w:right w:val="none" w:sz="0" w:space="0" w:color="auto"/>
                      </w:divBdr>
                      <w:divsChild>
                        <w:div w:id="54281845">
                          <w:marLeft w:val="0"/>
                          <w:marRight w:val="0"/>
                          <w:marTop w:val="0"/>
                          <w:marBottom w:val="0"/>
                          <w:divBdr>
                            <w:top w:val="none" w:sz="0" w:space="0" w:color="auto"/>
                            <w:left w:val="none" w:sz="0" w:space="0" w:color="auto"/>
                            <w:bottom w:val="none" w:sz="0" w:space="0" w:color="auto"/>
                            <w:right w:val="none" w:sz="0" w:space="0" w:color="auto"/>
                          </w:divBdr>
                        </w:div>
                        <w:div w:id="320274979">
                          <w:marLeft w:val="0"/>
                          <w:marRight w:val="0"/>
                          <w:marTop w:val="0"/>
                          <w:marBottom w:val="0"/>
                          <w:divBdr>
                            <w:top w:val="none" w:sz="0" w:space="0" w:color="auto"/>
                            <w:left w:val="none" w:sz="0" w:space="0" w:color="auto"/>
                            <w:bottom w:val="none" w:sz="0" w:space="0" w:color="auto"/>
                            <w:right w:val="none" w:sz="0" w:space="0" w:color="auto"/>
                          </w:divBdr>
                        </w:div>
                        <w:div w:id="1900555298">
                          <w:marLeft w:val="0"/>
                          <w:marRight w:val="0"/>
                          <w:marTop w:val="0"/>
                          <w:marBottom w:val="0"/>
                          <w:divBdr>
                            <w:top w:val="none" w:sz="0" w:space="0" w:color="auto"/>
                            <w:left w:val="none" w:sz="0" w:space="0" w:color="auto"/>
                            <w:bottom w:val="none" w:sz="0" w:space="0" w:color="auto"/>
                            <w:right w:val="none" w:sz="0" w:space="0" w:color="auto"/>
                          </w:divBdr>
                          <w:divsChild>
                            <w:div w:id="434832737">
                              <w:marLeft w:val="0"/>
                              <w:marRight w:val="0"/>
                              <w:marTop w:val="0"/>
                              <w:marBottom w:val="0"/>
                              <w:divBdr>
                                <w:top w:val="none" w:sz="0" w:space="0" w:color="auto"/>
                                <w:left w:val="none" w:sz="0" w:space="0" w:color="auto"/>
                                <w:bottom w:val="none" w:sz="0" w:space="0" w:color="auto"/>
                                <w:right w:val="none" w:sz="0" w:space="0" w:color="auto"/>
                              </w:divBdr>
                              <w:divsChild>
                                <w:div w:id="18286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991440">
          <w:marLeft w:val="0"/>
          <w:marRight w:val="0"/>
          <w:marTop w:val="600"/>
          <w:marBottom w:val="0"/>
          <w:divBdr>
            <w:top w:val="none" w:sz="0" w:space="0" w:color="auto"/>
            <w:left w:val="none" w:sz="0" w:space="0" w:color="auto"/>
            <w:bottom w:val="none" w:sz="0" w:space="0" w:color="auto"/>
            <w:right w:val="none" w:sz="0" w:space="0" w:color="auto"/>
          </w:divBdr>
          <w:divsChild>
            <w:div w:id="395904898">
              <w:marLeft w:val="0"/>
              <w:marRight w:val="0"/>
              <w:marTop w:val="0"/>
              <w:marBottom w:val="0"/>
              <w:divBdr>
                <w:top w:val="none" w:sz="0" w:space="0" w:color="auto"/>
                <w:left w:val="none" w:sz="0" w:space="0" w:color="auto"/>
                <w:bottom w:val="none" w:sz="0" w:space="0" w:color="auto"/>
                <w:right w:val="none" w:sz="0" w:space="0" w:color="auto"/>
              </w:divBdr>
              <w:divsChild>
                <w:div w:id="714894644">
                  <w:marLeft w:val="0"/>
                  <w:marRight w:val="0"/>
                  <w:marTop w:val="0"/>
                  <w:marBottom w:val="240"/>
                  <w:divBdr>
                    <w:top w:val="none" w:sz="0" w:space="0" w:color="auto"/>
                    <w:left w:val="none" w:sz="0" w:space="0" w:color="auto"/>
                    <w:bottom w:val="none" w:sz="0" w:space="0" w:color="auto"/>
                    <w:right w:val="none" w:sz="0" w:space="0" w:color="auto"/>
                  </w:divBdr>
                  <w:divsChild>
                    <w:div w:id="190535941">
                      <w:marLeft w:val="0"/>
                      <w:marRight w:val="0"/>
                      <w:marTop w:val="0"/>
                      <w:marBottom w:val="0"/>
                      <w:divBdr>
                        <w:top w:val="none" w:sz="0" w:space="0" w:color="auto"/>
                        <w:left w:val="none" w:sz="0" w:space="0" w:color="auto"/>
                        <w:bottom w:val="none" w:sz="0" w:space="0" w:color="auto"/>
                        <w:right w:val="none" w:sz="0" w:space="0" w:color="auto"/>
                      </w:divBdr>
                    </w:div>
                  </w:divsChild>
                </w:div>
                <w:div w:id="1353609458">
                  <w:marLeft w:val="0"/>
                  <w:marRight w:val="0"/>
                  <w:marTop w:val="0"/>
                  <w:marBottom w:val="0"/>
                  <w:divBdr>
                    <w:top w:val="none" w:sz="0" w:space="0" w:color="auto"/>
                    <w:left w:val="none" w:sz="0" w:space="0" w:color="auto"/>
                    <w:bottom w:val="none" w:sz="0" w:space="0" w:color="auto"/>
                    <w:right w:val="none" w:sz="0" w:space="0" w:color="auto"/>
                  </w:divBdr>
                  <w:divsChild>
                    <w:div w:id="1688216201">
                      <w:marLeft w:val="0"/>
                      <w:marRight w:val="0"/>
                      <w:marTop w:val="0"/>
                      <w:marBottom w:val="0"/>
                      <w:divBdr>
                        <w:top w:val="single" w:sz="2" w:space="0" w:color="auto"/>
                        <w:left w:val="single" w:sz="2" w:space="0" w:color="auto"/>
                        <w:bottom w:val="single" w:sz="2" w:space="0" w:color="auto"/>
                        <w:right w:val="single" w:sz="2" w:space="0" w:color="auto"/>
                      </w:divBdr>
                      <w:divsChild>
                        <w:div w:id="581376708">
                          <w:marLeft w:val="0"/>
                          <w:marRight w:val="0"/>
                          <w:marTop w:val="0"/>
                          <w:marBottom w:val="0"/>
                          <w:divBdr>
                            <w:top w:val="none" w:sz="0" w:space="0" w:color="auto"/>
                            <w:left w:val="none" w:sz="0" w:space="0" w:color="auto"/>
                            <w:bottom w:val="none" w:sz="0" w:space="0" w:color="auto"/>
                            <w:right w:val="none" w:sz="0" w:space="0" w:color="auto"/>
                          </w:divBdr>
                          <w:divsChild>
                            <w:div w:id="474641809">
                              <w:marLeft w:val="0"/>
                              <w:marRight w:val="0"/>
                              <w:marTop w:val="0"/>
                              <w:marBottom w:val="0"/>
                              <w:divBdr>
                                <w:top w:val="none" w:sz="0" w:space="0" w:color="auto"/>
                                <w:left w:val="none" w:sz="0" w:space="0" w:color="auto"/>
                                <w:bottom w:val="none" w:sz="0" w:space="0" w:color="auto"/>
                                <w:right w:val="none" w:sz="0" w:space="0" w:color="auto"/>
                              </w:divBdr>
                            </w:div>
                            <w:div w:id="1767994500">
                              <w:marLeft w:val="0"/>
                              <w:marRight w:val="0"/>
                              <w:marTop w:val="0"/>
                              <w:marBottom w:val="0"/>
                              <w:divBdr>
                                <w:top w:val="none" w:sz="0" w:space="0" w:color="auto"/>
                                <w:left w:val="none" w:sz="0" w:space="0" w:color="auto"/>
                                <w:bottom w:val="none" w:sz="0" w:space="0" w:color="auto"/>
                                <w:right w:val="none" w:sz="0" w:space="0" w:color="auto"/>
                              </w:divBdr>
                            </w:div>
                            <w:div w:id="626352450">
                              <w:marLeft w:val="0"/>
                              <w:marRight w:val="0"/>
                              <w:marTop w:val="0"/>
                              <w:marBottom w:val="0"/>
                              <w:divBdr>
                                <w:top w:val="none" w:sz="0" w:space="0" w:color="auto"/>
                                <w:left w:val="none" w:sz="0" w:space="0" w:color="auto"/>
                                <w:bottom w:val="none" w:sz="0" w:space="0" w:color="auto"/>
                                <w:right w:val="none" w:sz="0" w:space="0" w:color="auto"/>
                              </w:divBdr>
                            </w:div>
                            <w:div w:id="856307090">
                              <w:marLeft w:val="0"/>
                              <w:marRight w:val="0"/>
                              <w:marTop w:val="0"/>
                              <w:marBottom w:val="0"/>
                              <w:divBdr>
                                <w:top w:val="none" w:sz="0" w:space="0" w:color="auto"/>
                                <w:left w:val="none" w:sz="0" w:space="0" w:color="auto"/>
                                <w:bottom w:val="none" w:sz="0" w:space="0" w:color="auto"/>
                                <w:right w:val="none" w:sz="0" w:space="0" w:color="auto"/>
                              </w:divBdr>
                            </w:div>
                            <w:div w:id="933779651">
                              <w:marLeft w:val="0"/>
                              <w:marRight w:val="0"/>
                              <w:marTop w:val="0"/>
                              <w:marBottom w:val="0"/>
                              <w:divBdr>
                                <w:top w:val="none" w:sz="0" w:space="0" w:color="auto"/>
                                <w:left w:val="none" w:sz="0" w:space="0" w:color="auto"/>
                                <w:bottom w:val="none" w:sz="0" w:space="0" w:color="auto"/>
                                <w:right w:val="none" w:sz="0" w:space="0" w:color="auto"/>
                              </w:divBdr>
                            </w:div>
                            <w:div w:id="1190799495">
                              <w:marLeft w:val="0"/>
                              <w:marRight w:val="0"/>
                              <w:marTop w:val="0"/>
                              <w:marBottom w:val="0"/>
                              <w:divBdr>
                                <w:top w:val="none" w:sz="0" w:space="0" w:color="auto"/>
                                <w:left w:val="none" w:sz="0" w:space="0" w:color="auto"/>
                                <w:bottom w:val="none" w:sz="0" w:space="0" w:color="auto"/>
                                <w:right w:val="none" w:sz="0" w:space="0" w:color="auto"/>
                              </w:divBdr>
                            </w:div>
                            <w:div w:id="17142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90758">
                      <w:marLeft w:val="0"/>
                      <w:marRight w:val="0"/>
                      <w:marTop w:val="0"/>
                      <w:marBottom w:val="0"/>
                      <w:divBdr>
                        <w:top w:val="none" w:sz="0" w:space="0" w:color="auto"/>
                        <w:left w:val="none" w:sz="0" w:space="0" w:color="auto"/>
                        <w:bottom w:val="none" w:sz="0" w:space="0" w:color="auto"/>
                        <w:right w:val="none" w:sz="0" w:space="0" w:color="auto"/>
                      </w:divBdr>
                      <w:divsChild>
                        <w:div w:id="31535900">
                          <w:marLeft w:val="0"/>
                          <w:marRight w:val="0"/>
                          <w:marTop w:val="0"/>
                          <w:marBottom w:val="0"/>
                          <w:divBdr>
                            <w:top w:val="none" w:sz="0" w:space="0" w:color="auto"/>
                            <w:left w:val="none" w:sz="0" w:space="0" w:color="auto"/>
                            <w:bottom w:val="none" w:sz="0" w:space="0" w:color="auto"/>
                            <w:right w:val="none" w:sz="0" w:space="0" w:color="auto"/>
                          </w:divBdr>
                          <w:divsChild>
                            <w:div w:id="1941840007">
                              <w:marLeft w:val="0"/>
                              <w:marRight w:val="0"/>
                              <w:marTop w:val="0"/>
                              <w:marBottom w:val="0"/>
                              <w:divBdr>
                                <w:top w:val="single" w:sz="2" w:space="0" w:color="auto"/>
                                <w:left w:val="single" w:sz="2" w:space="0" w:color="auto"/>
                                <w:bottom w:val="single" w:sz="2" w:space="0" w:color="auto"/>
                                <w:right w:val="single" w:sz="2" w:space="0" w:color="auto"/>
                              </w:divBdr>
                            </w:div>
                            <w:div w:id="1163273662">
                              <w:marLeft w:val="0"/>
                              <w:marRight w:val="0"/>
                              <w:marTop w:val="0"/>
                              <w:marBottom w:val="0"/>
                              <w:divBdr>
                                <w:top w:val="none" w:sz="0" w:space="0" w:color="auto"/>
                                <w:left w:val="none" w:sz="0" w:space="0" w:color="auto"/>
                                <w:bottom w:val="none" w:sz="0" w:space="0" w:color="auto"/>
                                <w:right w:val="none" w:sz="0" w:space="0" w:color="auto"/>
                              </w:divBdr>
                              <w:divsChild>
                                <w:div w:id="1667829753">
                                  <w:marLeft w:val="0"/>
                                  <w:marRight w:val="0"/>
                                  <w:marTop w:val="0"/>
                                  <w:marBottom w:val="0"/>
                                  <w:divBdr>
                                    <w:top w:val="none" w:sz="0" w:space="0" w:color="auto"/>
                                    <w:left w:val="none" w:sz="0" w:space="0" w:color="auto"/>
                                    <w:bottom w:val="none" w:sz="0" w:space="0" w:color="auto"/>
                                    <w:right w:val="none" w:sz="0" w:space="0" w:color="auto"/>
                                  </w:divBdr>
                                  <w:divsChild>
                                    <w:div w:id="1561356648">
                                      <w:marLeft w:val="0"/>
                                      <w:marRight w:val="0"/>
                                      <w:marTop w:val="0"/>
                                      <w:marBottom w:val="0"/>
                                      <w:divBdr>
                                        <w:top w:val="none" w:sz="0" w:space="0" w:color="auto"/>
                                        <w:left w:val="none" w:sz="0" w:space="0" w:color="auto"/>
                                        <w:bottom w:val="none" w:sz="0" w:space="0" w:color="auto"/>
                                        <w:right w:val="none" w:sz="0" w:space="0" w:color="auto"/>
                                      </w:divBdr>
                                      <w:divsChild>
                                        <w:div w:id="213124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270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My%20Drive\University%20of%20Arizona\Research\Conferences\CAA%202023\Proceedings\CAA%202023%20-%20Proceedings%20-%20Stepha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FEA65-50DA-6D46-9249-48521081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CAA 2023 - Proceedings - Stephan</Template>
  <TotalTime>1</TotalTime>
  <Pages>10</Pages>
  <Words>4549</Words>
  <Characters>25932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Stephan</dc:creator>
  <cp:keywords/>
  <dc:description/>
  <cp:lastModifiedBy>Stephan, Robert - (rstephan)</cp:lastModifiedBy>
  <cp:revision>2</cp:revision>
  <cp:lastPrinted>2018-09-19T13:34:00Z</cp:lastPrinted>
  <dcterms:created xsi:type="dcterms:W3CDTF">2023-08-07T14:11:00Z</dcterms:created>
  <dcterms:modified xsi:type="dcterms:W3CDTF">2023-08-07T14:11:00Z</dcterms:modified>
</cp:coreProperties>
</file>